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05" w:rsidRPr="009C1C09" w:rsidRDefault="00995E05" w:rsidP="00995E05">
      <w:pPr>
        <w:jc w:val="center"/>
        <w:rPr>
          <w:rFonts w:ascii="Arial" w:hAnsi="Arial" w:cs="Arial"/>
          <w:b/>
          <w:u w:val="single"/>
        </w:rPr>
      </w:pPr>
      <w:r w:rsidRPr="009C1C09">
        <w:rPr>
          <w:rFonts w:ascii="Arial" w:hAnsi="Arial" w:cs="Arial"/>
          <w:b/>
          <w:u w:val="single"/>
        </w:rPr>
        <w:t>Sustainable Development Goals</w:t>
      </w:r>
    </w:p>
    <w:p w:rsidR="00995E05" w:rsidRPr="009C1C09" w:rsidRDefault="00995E05" w:rsidP="00995E05">
      <w:pPr>
        <w:jc w:val="center"/>
        <w:rPr>
          <w:rFonts w:ascii="Arial" w:hAnsi="Arial" w:cs="Arial"/>
          <w:b/>
          <w:u w:val="single"/>
        </w:rPr>
      </w:pPr>
    </w:p>
    <w:p w:rsidR="00995E05" w:rsidRDefault="00995E05" w:rsidP="00995E05">
      <w:pPr>
        <w:jc w:val="center"/>
        <w:rPr>
          <w:rFonts w:ascii="Arial" w:hAnsi="Arial" w:cs="Arial"/>
          <w:b/>
        </w:rPr>
      </w:pPr>
      <w:r w:rsidRPr="009C1C09">
        <w:rPr>
          <w:rFonts w:ascii="Arial" w:hAnsi="Arial" w:cs="Arial"/>
          <w:b/>
        </w:rPr>
        <w:t xml:space="preserve">Indicative List of Targets and </w:t>
      </w:r>
      <w:r>
        <w:rPr>
          <w:rFonts w:ascii="Arial" w:hAnsi="Arial" w:cs="Arial"/>
          <w:b/>
        </w:rPr>
        <w:t xml:space="preserve">Possible </w:t>
      </w:r>
      <w:r w:rsidRPr="009C1C09">
        <w:rPr>
          <w:rFonts w:ascii="Arial" w:hAnsi="Arial" w:cs="Arial"/>
          <w:b/>
        </w:rPr>
        <w:t>Indicators for the Sound Management of Chemicals and Waste</w:t>
      </w:r>
      <w:r w:rsidR="00711945">
        <w:rPr>
          <w:rStyle w:val="FootnoteReference"/>
          <w:rFonts w:ascii="Arial" w:hAnsi="Arial" w:cs="Arial"/>
          <w:b/>
        </w:rPr>
        <w:footnoteReference w:id="1"/>
      </w:r>
    </w:p>
    <w:p w:rsidR="00995E05" w:rsidRPr="00711945" w:rsidRDefault="00995E05" w:rsidP="00995E05">
      <w:pPr>
        <w:jc w:val="center"/>
        <w:rPr>
          <w:rFonts w:ascii="Arial" w:hAnsi="Arial" w:cs="Arial"/>
          <w:b/>
          <w:lang w:val="en-GB"/>
        </w:rPr>
      </w:pPr>
    </w:p>
    <w:tbl>
      <w:tblPr>
        <w:tblStyle w:val="TableGrid"/>
        <w:tblW w:w="14425" w:type="dxa"/>
        <w:tblLayout w:type="fixed"/>
        <w:tblLook w:val="04A0"/>
      </w:tblPr>
      <w:tblGrid>
        <w:gridCol w:w="5070"/>
        <w:gridCol w:w="7371"/>
        <w:gridCol w:w="1984"/>
      </w:tblGrid>
      <w:tr w:rsidR="004136A3" w:rsidRPr="009C1C09" w:rsidTr="00C56231">
        <w:trPr>
          <w:tblHeader/>
        </w:trPr>
        <w:tc>
          <w:tcPr>
            <w:tcW w:w="5070" w:type="dxa"/>
            <w:tcBorders>
              <w:bottom w:val="single" w:sz="4" w:space="0" w:color="auto"/>
            </w:tcBorders>
            <w:shd w:val="clear" w:color="auto" w:fill="D9D9D9" w:themeFill="background1" w:themeFillShade="D9"/>
          </w:tcPr>
          <w:p w:rsidR="004136A3" w:rsidRPr="009C1C09" w:rsidRDefault="004136A3" w:rsidP="001964FF">
            <w:pPr>
              <w:spacing w:before="120" w:after="120"/>
              <w:jc w:val="center"/>
              <w:rPr>
                <w:rFonts w:ascii="Arial" w:hAnsi="Arial" w:cs="Arial"/>
                <w:b/>
                <w:szCs w:val="20"/>
              </w:rPr>
            </w:pPr>
            <w:r w:rsidRPr="009C1C09">
              <w:rPr>
                <w:rFonts w:ascii="Arial" w:hAnsi="Arial" w:cs="Arial"/>
                <w:b/>
                <w:szCs w:val="20"/>
              </w:rPr>
              <w:t>Targets</w:t>
            </w:r>
          </w:p>
        </w:tc>
        <w:tc>
          <w:tcPr>
            <w:tcW w:w="7371" w:type="dxa"/>
            <w:tcBorders>
              <w:bottom w:val="single" w:sz="4" w:space="0" w:color="auto"/>
            </w:tcBorders>
            <w:shd w:val="clear" w:color="auto" w:fill="D9D9D9" w:themeFill="background1" w:themeFillShade="D9"/>
          </w:tcPr>
          <w:p w:rsidR="004136A3" w:rsidRPr="009C1C09" w:rsidRDefault="004136A3" w:rsidP="001964FF">
            <w:pPr>
              <w:spacing w:before="120" w:after="120"/>
              <w:jc w:val="center"/>
              <w:rPr>
                <w:rFonts w:ascii="Arial" w:hAnsi="Arial" w:cs="Arial"/>
                <w:b/>
                <w:szCs w:val="20"/>
              </w:rPr>
            </w:pPr>
            <w:r w:rsidRPr="009C1C09">
              <w:rPr>
                <w:rFonts w:ascii="Arial" w:hAnsi="Arial" w:cs="Arial"/>
                <w:b/>
                <w:szCs w:val="20"/>
              </w:rPr>
              <w:t>Indicators</w:t>
            </w:r>
          </w:p>
        </w:tc>
        <w:tc>
          <w:tcPr>
            <w:tcW w:w="1984" w:type="dxa"/>
            <w:tcBorders>
              <w:bottom w:val="single" w:sz="4" w:space="0" w:color="auto"/>
            </w:tcBorders>
            <w:shd w:val="clear" w:color="auto" w:fill="D9D9D9" w:themeFill="background1" w:themeFillShade="D9"/>
          </w:tcPr>
          <w:p w:rsidR="004136A3" w:rsidRPr="009C1C09" w:rsidRDefault="004136A3" w:rsidP="001964FF">
            <w:pPr>
              <w:spacing w:before="120" w:after="120"/>
              <w:jc w:val="center"/>
              <w:rPr>
                <w:rFonts w:ascii="Arial" w:hAnsi="Arial" w:cs="Arial"/>
                <w:b/>
                <w:szCs w:val="20"/>
              </w:rPr>
            </w:pPr>
            <w:r>
              <w:rPr>
                <w:rFonts w:ascii="Arial" w:hAnsi="Arial" w:cs="Arial"/>
                <w:b/>
                <w:szCs w:val="20"/>
              </w:rPr>
              <w:t>Comments</w:t>
            </w:r>
            <w:r w:rsidR="00DD4CB6">
              <w:rPr>
                <w:rFonts w:ascii="Arial" w:hAnsi="Arial" w:cs="Arial"/>
                <w:b/>
                <w:szCs w:val="20"/>
              </w:rPr>
              <w:t xml:space="preserve"> / Priority</w:t>
            </w:r>
          </w:p>
        </w:tc>
      </w:tr>
      <w:tr w:rsidR="00C56231" w:rsidRPr="009C1C09" w:rsidTr="00C56231">
        <w:trPr>
          <w:trHeight w:val="778"/>
        </w:trPr>
        <w:tc>
          <w:tcPr>
            <w:tcW w:w="14425" w:type="dxa"/>
            <w:gridSpan w:val="3"/>
            <w:tcBorders>
              <w:bottom w:val="single" w:sz="4" w:space="0" w:color="auto"/>
            </w:tcBorders>
            <w:shd w:val="clear" w:color="auto" w:fill="FFC000"/>
            <w:vAlign w:val="center"/>
          </w:tcPr>
          <w:p w:rsidR="00C56231" w:rsidRPr="00C56231" w:rsidRDefault="00C56231" w:rsidP="00C56231">
            <w:pPr>
              <w:jc w:val="center"/>
              <w:rPr>
                <w:rFonts w:ascii="Arial" w:hAnsi="Arial" w:cs="Arial"/>
                <w:color w:val="000000"/>
                <w:szCs w:val="20"/>
              </w:rPr>
            </w:pPr>
            <w:r w:rsidRPr="00C56231">
              <w:rPr>
                <w:rFonts w:ascii="Arial" w:hAnsi="Arial" w:cs="Arial"/>
                <w:b/>
                <w:bCs/>
                <w:szCs w:val="20"/>
              </w:rPr>
              <w:t>Proposed goal 1. End poverty in all its forms everywhere</w:t>
            </w:r>
          </w:p>
        </w:tc>
      </w:tr>
      <w:tr w:rsidR="004136A3" w:rsidRPr="009C1C09" w:rsidTr="00306060">
        <w:trPr>
          <w:trHeight w:val="2853"/>
        </w:trPr>
        <w:tc>
          <w:tcPr>
            <w:tcW w:w="5070" w:type="dxa"/>
            <w:tcBorders>
              <w:bottom w:val="single" w:sz="4" w:space="0" w:color="auto"/>
            </w:tcBorders>
          </w:tcPr>
          <w:p w:rsidR="004136A3" w:rsidRDefault="004136A3" w:rsidP="005A1486">
            <w:pPr>
              <w:jc w:val="both"/>
              <w:rPr>
                <w:rFonts w:ascii="Arial" w:hAnsi="Arial" w:cs="Arial"/>
                <w:b/>
                <w:bCs/>
                <w:sz w:val="20"/>
                <w:szCs w:val="20"/>
              </w:rPr>
            </w:pPr>
          </w:p>
          <w:p w:rsidR="004136A3" w:rsidRPr="00BF1AEC" w:rsidRDefault="004136A3" w:rsidP="00BF1AEC">
            <w:pPr>
              <w:jc w:val="both"/>
              <w:rPr>
                <w:rFonts w:ascii="Arial" w:hAnsi="Arial" w:cs="Arial"/>
                <w:bCs/>
                <w:sz w:val="20"/>
                <w:szCs w:val="20"/>
              </w:rPr>
            </w:pPr>
            <w:r>
              <w:rPr>
                <w:rFonts w:ascii="Arial" w:hAnsi="Arial" w:cs="Arial"/>
                <w:bCs/>
                <w:sz w:val="20"/>
                <w:szCs w:val="20"/>
              </w:rPr>
              <w:t xml:space="preserve">1.5 </w:t>
            </w:r>
            <w:r w:rsidRPr="00BF1AEC">
              <w:rPr>
                <w:rFonts w:ascii="Arial" w:hAnsi="Arial" w:cs="Arial"/>
                <w:bCs/>
                <w:sz w:val="20"/>
                <w:szCs w:val="20"/>
              </w:rPr>
              <w:t>by 2030 build the resilience of the poor and those in vulnerable situations, and reduce their exposure and vulnerability to climate-related extreme events and other economic, social and environmental shocks and disasters</w:t>
            </w:r>
          </w:p>
        </w:tc>
        <w:tc>
          <w:tcPr>
            <w:tcW w:w="7371" w:type="dxa"/>
            <w:tcBorders>
              <w:bottom w:val="single" w:sz="4" w:space="0" w:color="auto"/>
            </w:tcBorders>
          </w:tcPr>
          <w:p w:rsidR="004136A3" w:rsidRDefault="004136A3" w:rsidP="00B013F3">
            <w:pPr>
              <w:pStyle w:val="ListParagraph"/>
              <w:spacing w:before="100" w:beforeAutospacing="1" w:after="100" w:afterAutospacing="1"/>
              <w:ind w:left="360"/>
              <w:rPr>
                <w:rFonts w:ascii="Arial" w:hAnsi="Arial" w:cs="Arial"/>
                <w:color w:val="000000"/>
                <w:sz w:val="20"/>
                <w:szCs w:val="20"/>
              </w:rPr>
            </w:pPr>
          </w:p>
          <w:p w:rsidR="004136A3" w:rsidRPr="00534E62" w:rsidRDefault="004136A3" w:rsidP="00B013F3">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1.5.1 Percentage of people living in or within x distance to uncontrolled dumpsites and other “hot spots” emitting a</w:t>
            </w:r>
            <w:r w:rsidR="00647300" w:rsidRPr="00534E62">
              <w:rPr>
                <w:rFonts w:ascii="Arial" w:hAnsi="Arial" w:cs="Arial"/>
                <w:b/>
                <w:color w:val="0070C0"/>
                <w:sz w:val="20"/>
                <w:szCs w:val="20"/>
              </w:rPr>
              <w:t>nd releasing hazardous chemical</w:t>
            </w:r>
            <w:r w:rsidRPr="00534E62">
              <w:rPr>
                <w:rFonts w:ascii="Arial" w:hAnsi="Arial" w:cs="Arial"/>
                <w:b/>
                <w:color w:val="0070C0"/>
                <w:sz w:val="20"/>
                <w:szCs w:val="20"/>
              </w:rPr>
              <w:t>.</w:t>
            </w:r>
          </w:p>
          <w:p w:rsidR="004136A3" w:rsidRPr="00534E62" w:rsidRDefault="004136A3" w:rsidP="00B013F3">
            <w:pPr>
              <w:pStyle w:val="ListParagraph"/>
              <w:spacing w:before="100" w:beforeAutospacing="1" w:after="100" w:afterAutospacing="1"/>
              <w:ind w:left="360"/>
              <w:rPr>
                <w:rFonts w:ascii="Arial" w:hAnsi="Arial" w:cs="Arial"/>
                <w:b/>
                <w:color w:val="0070C0"/>
                <w:sz w:val="20"/>
                <w:szCs w:val="20"/>
              </w:rPr>
            </w:pPr>
          </w:p>
          <w:p w:rsidR="004136A3" w:rsidRPr="00534E62" w:rsidRDefault="004136A3" w:rsidP="00B013F3">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1.5.2 Percentage of major toxic hotspots/</w:t>
            </w:r>
            <w:r w:rsidR="00D27B26" w:rsidRPr="00534E62">
              <w:rPr>
                <w:rFonts w:ascii="Arial" w:hAnsi="Arial" w:cs="Arial"/>
                <w:b/>
                <w:color w:val="0070C0"/>
                <w:sz w:val="20"/>
                <w:szCs w:val="20"/>
              </w:rPr>
              <w:t xml:space="preserve">contaminated </w:t>
            </w:r>
            <w:r w:rsidRPr="00534E62">
              <w:rPr>
                <w:rFonts w:ascii="Arial" w:hAnsi="Arial" w:cs="Arial"/>
                <w:b/>
                <w:color w:val="0070C0"/>
                <w:sz w:val="20"/>
                <w:szCs w:val="20"/>
              </w:rPr>
              <w:t>sites/stockpiles with chemical r</w:t>
            </w:r>
            <w:r w:rsidR="00647300" w:rsidRPr="00534E62">
              <w:rPr>
                <w:rFonts w:ascii="Arial" w:hAnsi="Arial" w:cs="Arial"/>
                <w:b/>
                <w:color w:val="0070C0"/>
                <w:sz w:val="20"/>
                <w:szCs w:val="20"/>
              </w:rPr>
              <w:t>isk management measures applied</w:t>
            </w:r>
          </w:p>
          <w:p w:rsidR="004136A3" w:rsidRDefault="004136A3" w:rsidP="00B013F3">
            <w:pPr>
              <w:pStyle w:val="ListParagraph"/>
              <w:spacing w:before="100" w:beforeAutospacing="1" w:after="100" w:afterAutospacing="1"/>
              <w:ind w:left="360"/>
              <w:rPr>
                <w:rFonts w:ascii="Arial" w:hAnsi="Arial" w:cs="Arial"/>
                <w:color w:val="000000"/>
                <w:sz w:val="20"/>
                <w:szCs w:val="20"/>
              </w:rPr>
            </w:pPr>
          </w:p>
          <w:p w:rsidR="004136A3" w:rsidRPr="00534E62" w:rsidRDefault="004136A3" w:rsidP="00B013F3">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 xml:space="preserve">1.5.3 Number of countries that integrated chemicals and waste into their national </w:t>
            </w:r>
            <w:r w:rsidR="00647300" w:rsidRPr="00534E62">
              <w:rPr>
                <w:rFonts w:ascii="Arial" w:hAnsi="Arial" w:cs="Arial"/>
                <w:b/>
                <w:color w:val="0070C0"/>
                <w:sz w:val="20"/>
                <w:szCs w:val="20"/>
              </w:rPr>
              <w:t>development plans or strategies</w:t>
            </w:r>
          </w:p>
          <w:p w:rsidR="004136A3" w:rsidRPr="00534E62" w:rsidRDefault="004136A3" w:rsidP="00B013F3">
            <w:pPr>
              <w:pStyle w:val="ListParagraph"/>
              <w:spacing w:before="100" w:beforeAutospacing="1" w:after="100" w:afterAutospacing="1"/>
              <w:ind w:left="360"/>
              <w:rPr>
                <w:rFonts w:ascii="Arial" w:hAnsi="Arial" w:cs="Arial"/>
                <w:b/>
                <w:color w:val="0070C0"/>
                <w:sz w:val="20"/>
                <w:szCs w:val="20"/>
              </w:rPr>
            </w:pPr>
          </w:p>
          <w:p w:rsidR="004136A3" w:rsidRPr="00534E62" w:rsidRDefault="004136A3" w:rsidP="007D3571">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1.5.4 Percentage of national budgets allocated to sound ma</w:t>
            </w:r>
            <w:r w:rsidR="00647300" w:rsidRPr="00534E62">
              <w:rPr>
                <w:rFonts w:ascii="Arial" w:hAnsi="Arial" w:cs="Arial"/>
                <w:b/>
                <w:color w:val="0070C0"/>
                <w:sz w:val="20"/>
                <w:szCs w:val="20"/>
              </w:rPr>
              <w:t>nagement of chemicals and waste</w:t>
            </w:r>
          </w:p>
          <w:p w:rsidR="00647300" w:rsidRDefault="00647300" w:rsidP="007D3571">
            <w:pPr>
              <w:pStyle w:val="ListParagraph"/>
              <w:spacing w:before="100" w:beforeAutospacing="1" w:after="100" w:afterAutospacing="1"/>
              <w:ind w:left="360"/>
              <w:rPr>
                <w:rFonts w:ascii="Arial" w:hAnsi="Arial" w:cs="Arial"/>
                <w:color w:val="000000"/>
                <w:sz w:val="20"/>
                <w:szCs w:val="20"/>
              </w:rPr>
            </w:pPr>
          </w:p>
          <w:p w:rsidR="00647300" w:rsidRPr="009C1C09" w:rsidRDefault="00647300" w:rsidP="00647300">
            <w:pPr>
              <w:pStyle w:val="ListParagraph"/>
              <w:spacing w:before="100" w:beforeAutospacing="1" w:after="100" w:afterAutospacing="1"/>
              <w:ind w:left="360"/>
              <w:contextualSpacing w:val="0"/>
              <w:rPr>
                <w:rFonts w:ascii="Arial" w:hAnsi="Arial" w:cs="Arial"/>
                <w:sz w:val="20"/>
                <w:szCs w:val="20"/>
              </w:rPr>
            </w:pPr>
            <w:r>
              <w:rPr>
                <w:rFonts w:ascii="Arial" w:hAnsi="Arial" w:cs="Arial"/>
                <w:color w:val="000000"/>
                <w:sz w:val="20"/>
                <w:szCs w:val="20"/>
              </w:rPr>
              <w:t xml:space="preserve">1.5.5 </w:t>
            </w:r>
            <w:r w:rsidRPr="009C1C09">
              <w:rPr>
                <w:rFonts w:ascii="Arial" w:hAnsi="Arial" w:cs="Arial"/>
                <w:sz w:val="20"/>
                <w:szCs w:val="20"/>
              </w:rPr>
              <w:t>Number of countries with response mechanisms for environmental accidents involving chemicals as well as associated emergency preparedness policies</w:t>
            </w:r>
          </w:p>
          <w:p w:rsidR="004136A3" w:rsidRDefault="004136A3" w:rsidP="007D3571">
            <w:pPr>
              <w:pStyle w:val="ListParagraph"/>
              <w:spacing w:before="100" w:beforeAutospacing="1" w:after="100" w:afterAutospacing="1"/>
              <w:ind w:left="360"/>
              <w:rPr>
                <w:rFonts w:ascii="Arial" w:hAnsi="Arial" w:cs="Arial"/>
                <w:color w:val="000000"/>
                <w:sz w:val="20"/>
                <w:szCs w:val="20"/>
              </w:rPr>
            </w:pPr>
          </w:p>
          <w:p w:rsidR="00C56231" w:rsidRDefault="00C56231" w:rsidP="007D3571">
            <w:pPr>
              <w:pStyle w:val="ListParagraph"/>
              <w:spacing w:before="100" w:beforeAutospacing="1" w:after="100" w:afterAutospacing="1"/>
              <w:ind w:left="360"/>
              <w:rPr>
                <w:rFonts w:ascii="Arial" w:hAnsi="Arial" w:cs="Arial"/>
                <w:color w:val="000000"/>
                <w:sz w:val="20"/>
                <w:szCs w:val="20"/>
              </w:rPr>
            </w:pPr>
          </w:p>
          <w:p w:rsidR="00CF0545" w:rsidRDefault="00CF0545" w:rsidP="007D3571">
            <w:pPr>
              <w:pStyle w:val="ListParagraph"/>
              <w:spacing w:before="100" w:beforeAutospacing="1" w:after="100" w:afterAutospacing="1"/>
              <w:ind w:left="360"/>
              <w:rPr>
                <w:rFonts w:ascii="Arial" w:hAnsi="Arial" w:cs="Arial"/>
                <w:color w:val="000000"/>
                <w:sz w:val="20"/>
                <w:szCs w:val="20"/>
              </w:rPr>
            </w:pPr>
          </w:p>
          <w:p w:rsidR="00CF0545" w:rsidRDefault="00CF0545" w:rsidP="007D3571">
            <w:pPr>
              <w:pStyle w:val="ListParagraph"/>
              <w:spacing w:before="100" w:beforeAutospacing="1" w:after="100" w:afterAutospacing="1"/>
              <w:ind w:left="360"/>
              <w:rPr>
                <w:rFonts w:ascii="Arial" w:hAnsi="Arial" w:cs="Arial"/>
                <w:color w:val="000000"/>
                <w:sz w:val="20"/>
                <w:szCs w:val="20"/>
              </w:rPr>
            </w:pPr>
          </w:p>
          <w:p w:rsidR="00C56231" w:rsidRDefault="00C56231" w:rsidP="007D3571">
            <w:pPr>
              <w:pStyle w:val="ListParagraph"/>
              <w:spacing w:before="100" w:beforeAutospacing="1" w:after="100" w:afterAutospacing="1"/>
              <w:ind w:left="360"/>
              <w:rPr>
                <w:rFonts w:ascii="Arial" w:hAnsi="Arial" w:cs="Arial"/>
                <w:color w:val="000000"/>
                <w:sz w:val="20"/>
                <w:szCs w:val="20"/>
              </w:rPr>
            </w:pPr>
          </w:p>
          <w:p w:rsidR="00C56231" w:rsidRDefault="00C56231" w:rsidP="007D3571">
            <w:pPr>
              <w:pStyle w:val="ListParagraph"/>
              <w:spacing w:before="100" w:beforeAutospacing="1" w:after="100" w:afterAutospacing="1"/>
              <w:ind w:left="360"/>
              <w:rPr>
                <w:rFonts w:ascii="Arial" w:hAnsi="Arial" w:cs="Arial"/>
                <w:color w:val="000000"/>
                <w:sz w:val="20"/>
                <w:szCs w:val="20"/>
              </w:rPr>
            </w:pPr>
          </w:p>
          <w:p w:rsidR="00C56231" w:rsidRDefault="00C56231" w:rsidP="007D3571">
            <w:pPr>
              <w:pStyle w:val="ListParagraph"/>
              <w:spacing w:before="100" w:beforeAutospacing="1" w:after="100" w:afterAutospacing="1"/>
              <w:ind w:left="360"/>
              <w:rPr>
                <w:rFonts w:ascii="Arial" w:hAnsi="Arial" w:cs="Arial"/>
                <w:color w:val="000000"/>
                <w:sz w:val="20"/>
                <w:szCs w:val="20"/>
              </w:rPr>
            </w:pPr>
          </w:p>
          <w:p w:rsidR="00C56231" w:rsidRPr="009C1C09" w:rsidRDefault="00C56231" w:rsidP="007D3571">
            <w:pPr>
              <w:pStyle w:val="ListParagraph"/>
              <w:spacing w:before="100" w:beforeAutospacing="1" w:after="100" w:afterAutospacing="1"/>
              <w:ind w:left="360"/>
              <w:rPr>
                <w:rFonts w:ascii="Arial" w:hAnsi="Arial" w:cs="Arial"/>
                <w:color w:val="000000"/>
                <w:sz w:val="20"/>
                <w:szCs w:val="20"/>
              </w:rPr>
            </w:pPr>
          </w:p>
        </w:tc>
        <w:tc>
          <w:tcPr>
            <w:tcW w:w="1984" w:type="dxa"/>
            <w:tcBorders>
              <w:bottom w:val="single" w:sz="4" w:space="0" w:color="auto"/>
            </w:tcBorders>
          </w:tcPr>
          <w:p w:rsidR="004136A3" w:rsidRDefault="004136A3" w:rsidP="004136A3">
            <w:pPr>
              <w:pStyle w:val="ListParagraph"/>
              <w:spacing w:before="100" w:beforeAutospacing="1" w:after="100" w:afterAutospacing="1"/>
              <w:ind w:left="34"/>
              <w:rPr>
                <w:rFonts w:ascii="Arial" w:hAnsi="Arial" w:cs="Arial"/>
                <w:color w:val="000000"/>
                <w:sz w:val="20"/>
                <w:szCs w:val="20"/>
              </w:rPr>
            </w:pPr>
            <w:r>
              <w:rPr>
                <w:rFonts w:ascii="Arial" w:hAnsi="Arial" w:cs="Arial"/>
                <w:color w:val="000000"/>
                <w:sz w:val="20"/>
                <w:szCs w:val="20"/>
              </w:rPr>
              <w:lastRenderedPageBreak/>
              <w:t xml:space="preserve">Applicable to target 1.5 </w:t>
            </w:r>
            <w:r w:rsidR="00711E7D">
              <w:rPr>
                <w:rFonts w:ascii="Arial" w:hAnsi="Arial" w:cs="Arial"/>
                <w:color w:val="000000"/>
                <w:sz w:val="20"/>
                <w:szCs w:val="20"/>
              </w:rPr>
              <w:t>and</w:t>
            </w:r>
            <w:r>
              <w:rPr>
                <w:rFonts w:ascii="Arial" w:hAnsi="Arial" w:cs="Arial"/>
                <w:color w:val="000000"/>
                <w:sz w:val="20"/>
                <w:szCs w:val="20"/>
              </w:rPr>
              <w:t xml:space="preserve"> to the goal in general</w:t>
            </w:r>
          </w:p>
          <w:p w:rsidR="00534E62" w:rsidRDefault="00534E62" w:rsidP="004136A3">
            <w:pPr>
              <w:pStyle w:val="ListParagraph"/>
              <w:spacing w:before="100" w:beforeAutospacing="1" w:after="100" w:afterAutospacing="1"/>
              <w:ind w:left="34"/>
              <w:rPr>
                <w:rFonts w:ascii="Arial" w:hAnsi="Arial" w:cs="Arial"/>
                <w:color w:val="000000"/>
                <w:sz w:val="20"/>
                <w:szCs w:val="20"/>
              </w:rPr>
            </w:pPr>
          </w:p>
          <w:p w:rsidR="00534E62" w:rsidRDefault="00903809" w:rsidP="004136A3">
            <w:pPr>
              <w:pStyle w:val="ListParagraph"/>
              <w:spacing w:before="100" w:beforeAutospacing="1" w:after="100" w:afterAutospacing="1"/>
              <w:ind w:left="34"/>
              <w:rPr>
                <w:rFonts w:ascii="Arial" w:hAnsi="Arial" w:cs="Arial"/>
                <w:color w:val="000000"/>
                <w:sz w:val="20"/>
                <w:szCs w:val="20"/>
              </w:rPr>
            </w:pPr>
            <w:r w:rsidRPr="00903809">
              <w:rPr>
                <w:rFonts w:ascii="Arial" w:hAnsi="Arial" w:cs="Arial"/>
                <w:color w:val="000000"/>
                <w:sz w:val="20"/>
                <w:szCs w:val="18"/>
              </w:rPr>
              <w:t>Also applicable to Cities and Means of Implementation</w:t>
            </w:r>
          </w:p>
        </w:tc>
      </w:tr>
      <w:tr w:rsidR="00C56231" w:rsidRPr="009C1C09" w:rsidTr="00C56231">
        <w:trPr>
          <w:trHeight w:val="856"/>
        </w:trPr>
        <w:tc>
          <w:tcPr>
            <w:tcW w:w="14425" w:type="dxa"/>
            <w:gridSpan w:val="3"/>
            <w:tcBorders>
              <w:bottom w:val="single" w:sz="4" w:space="0" w:color="auto"/>
            </w:tcBorders>
            <w:shd w:val="clear" w:color="auto" w:fill="FFC000"/>
            <w:vAlign w:val="center"/>
          </w:tcPr>
          <w:p w:rsidR="00C56231" w:rsidRDefault="00C56231" w:rsidP="00C56231">
            <w:pPr>
              <w:jc w:val="center"/>
              <w:rPr>
                <w:rFonts w:ascii="Arial" w:hAnsi="Arial" w:cs="Arial"/>
                <w:b/>
                <w:bCs/>
                <w:szCs w:val="20"/>
              </w:rPr>
            </w:pPr>
          </w:p>
          <w:p w:rsidR="00C56231" w:rsidRDefault="00C56231" w:rsidP="00C56231">
            <w:pPr>
              <w:jc w:val="center"/>
              <w:rPr>
                <w:rFonts w:ascii="Arial" w:hAnsi="Arial" w:cs="Arial"/>
                <w:b/>
                <w:bCs/>
                <w:szCs w:val="20"/>
              </w:rPr>
            </w:pPr>
            <w:r w:rsidRPr="00C56231">
              <w:rPr>
                <w:rFonts w:ascii="Arial" w:hAnsi="Arial" w:cs="Arial"/>
                <w:b/>
                <w:bCs/>
                <w:szCs w:val="20"/>
              </w:rPr>
              <w:t>Proposed goal 2. End hunger, achieve food security and improved nutrition, and promote sustainable agriculture</w:t>
            </w:r>
          </w:p>
          <w:p w:rsidR="00C56231" w:rsidRDefault="00C56231" w:rsidP="00C56231">
            <w:pPr>
              <w:jc w:val="center"/>
              <w:rPr>
                <w:rFonts w:ascii="Arial" w:hAnsi="Arial" w:cs="Arial"/>
                <w:sz w:val="20"/>
                <w:szCs w:val="20"/>
              </w:rPr>
            </w:pPr>
          </w:p>
        </w:tc>
      </w:tr>
      <w:tr w:rsidR="004136A3" w:rsidRPr="009C1C09" w:rsidTr="00C56231">
        <w:trPr>
          <w:trHeight w:val="5002"/>
        </w:trPr>
        <w:tc>
          <w:tcPr>
            <w:tcW w:w="5070" w:type="dxa"/>
            <w:tcBorders>
              <w:bottom w:val="single" w:sz="4" w:space="0" w:color="auto"/>
            </w:tcBorders>
          </w:tcPr>
          <w:p w:rsidR="004136A3" w:rsidRDefault="004136A3" w:rsidP="005A1486">
            <w:pPr>
              <w:jc w:val="both"/>
              <w:rPr>
                <w:rFonts w:ascii="Arial" w:hAnsi="Arial" w:cs="Arial"/>
                <w:b/>
                <w:bCs/>
                <w:sz w:val="20"/>
                <w:szCs w:val="20"/>
              </w:rPr>
            </w:pPr>
          </w:p>
          <w:p w:rsidR="004136A3" w:rsidRDefault="004136A3" w:rsidP="00BF1AEC">
            <w:pPr>
              <w:jc w:val="both"/>
              <w:rPr>
                <w:rFonts w:ascii="Arial" w:hAnsi="Arial" w:cs="Arial"/>
                <w:bCs/>
                <w:sz w:val="20"/>
                <w:szCs w:val="20"/>
              </w:rPr>
            </w:pPr>
            <w:r w:rsidRPr="00BF1AEC">
              <w:rPr>
                <w:rFonts w:ascii="Arial" w:hAnsi="Arial" w:cs="Arial"/>
                <w:bCs/>
                <w:sz w:val="20"/>
                <w:szCs w:val="20"/>
              </w:rPr>
              <w:t>2.1</w:t>
            </w:r>
            <w:r w:rsidRPr="00BF1AEC">
              <w:rPr>
                <w:rFonts w:ascii="Arial" w:hAnsi="Arial" w:cs="Arial"/>
                <w:bCs/>
                <w:sz w:val="20"/>
                <w:szCs w:val="20"/>
              </w:rPr>
              <w:tab/>
              <w:t>by 2030 end hunger and ensure access by all people, in particular the poor and people in vulnerable situations including infants, to safe, nutritious and sufficient food all year round</w:t>
            </w:r>
          </w:p>
          <w:p w:rsidR="004136A3" w:rsidRPr="00BF1AEC" w:rsidRDefault="004136A3" w:rsidP="00BF1AEC">
            <w:pPr>
              <w:jc w:val="both"/>
              <w:rPr>
                <w:rFonts w:ascii="Arial" w:hAnsi="Arial" w:cs="Arial"/>
                <w:bCs/>
                <w:sz w:val="20"/>
                <w:szCs w:val="20"/>
              </w:rPr>
            </w:pPr>
          </w:p>
          <w:p w:rsidR="008148B8" w:rsidRDefault="008148B8" w:rsidP="00BF1AEC">
            <w:pPr>
              <w:jc w:val="both"/>
              <w:rPr>
                <w:rFonts w:ascii="Arial" w:hAnsi="Arial" w:cs="Arial"/>
                <w:bCs/>
                <w:sz w:val="20"/>
                <w:szCs w:val="20"/>
              </w:rPr>
            </w:pPr>
          </w:p>
          <w:p w:rsidR="008148B8" w:rsidRDefault="008148B8" w:rsidP="00BF1AEC">
            <w:pPr>
              <w:jc w:val="both"/>
              <w:rPr>
                <w:rFonts w:ascii="Arial" w:hAnsi="Arial" w:cs="Arial"/>
                <w:bCs/>
                <w:sz w:val="20"/>
                <w:szCs w:val="20"/>
              </w:rPr>
            </w:pPr>
          </w:p>
          <w:p w:rsidR="008148B8" w:rsidRDefault="008148B8" w:rsidP="00BF1AEC">
            <w:pPr>
              <w:jc w:val="both"/>
              <w:rPr>
                <w:rFonts w:ascii="Arial" w:hAnsi="Arial" w:cs="Arial"/>
                <w:bCs/>
                <w:sz w:val="20"/>
                <w:szCs w:val="20"/>
              </w:rPr>
            </w:pPr>
          </w:p>
          <w:p w:rsidR="008148B8" w:rsidRDefault="008148B8" w:rsidP="00BF1AEC">
            <w:pPr>
              <w:jc w:val="both"/>
              <w:rPr>
                <w:rFonts w:ascii="Arial" w:hAnsi="Arial" w:cs="Arial"/>
                <w:bCs/>
                <w:sz w:val="20"/>
                <w:szCs w:val="20"/>
              </w:rPr>
            </w:pPr>
          </w:p>
          <w:p w:rsidR="004136A3" w:rsidRDefault="004136A3" w:rsidP="00BF1AEC">
            <w:pPr>
              <w:jc w:val="both"/>
              <w:rPr>
                <w:rFonts w:ascii="Arial" w:hAnsi="Arial" w:cs="Arial"/>
                <w:bCs/>
                <w:sz w:val="20"/>
                <w:szCs w:val="20"/>
              </w:rPr>
            </w:pPr>
            <w:r w:rsidRPr="00BF1AEC">
              <w:rPr>
                <w:rFonts w:ascii="Arial" w:hAnsi="Arial" w:cs="Arial"/>
                <w:bCs/>
                <w:sz w:val="20"/>
                <w:szCs w:val="20"/>
              </w:rPr>
              <w:t>2.2</w:t>
            </w:r>
            <w:r w:rsidRPr="00BF1AEC">
              <w:rPr>
                <w:rFonts w:ascii="Arial" w:hAnsi="Arial" w:cs="Arial"/>
                <w:bCs/>
                <w:sz w:val="20"/>
                <w:szCs w:val="20"/>
              </w:rPr>
              <w:tab/>
              <w:t>by 2030 end all forms of malnutrition, including achieving by 2025 the internationally agreed targets on stunting and wasting in children under five years of age, and address the nutritional needs of adolescent girls, pregnant and lactating women, and older persons</w:t>
            </w:r>
          </w:p>
          <w:p w:rsidR="004136A3" w:rsidRPr="00BF1AEC" w:rsidRDefault="004136A3" w:rsidP="00BF1AEC">
            <w:pPr>
              <w:jc w:val="both"/>
              <w:rPr>
                <w:rFonts w:ascii="Arial" w:hAnsi="Arial" w:cs="Arial"/>
                <w:bCs/>
                <w:sz w:val="20"/>
                <w:szCs w:val="20"/>
              </w:rPr>
            </w:pPr>
          </w:p>
          <w:p w:rsidR="004136A3" w:rsidRPr="00BF1AEC" w:rsidRDefault="004136A3" w:rsidP="00BF1AEC">
            <w:pPr>
              <w:jc w:val="both"/>
              <w:rPr>
                <w:rFonts w:ascii="Arial" w:hAnsi="Arial" w:cs="Arial"/>
                <w:bCs/>
                <w:sz w:val="20"/>
                <w:szCs w:val="20"/>
              </w:rPr>
            </w:pPr>
            <w:r w:rsidRPr="00BF1AEC">
              <w:rPr>
                <w:rFonts w:ascii="Arial" w:hAnsi="Arial" w:cs="Arial"/>
                <w:bCs/>
                <w:sz w:val="20"/>
                <w:szCs w:val="20"/>
              </w:rPr>
              <w:t>2.3</w:t>
            </w:r>
            <w:r w:rsidRPr="00BF1AEC">
              <w:rPr>
                <w:rFonts w:ascii="Arial" w:hAnsi="Arial" w:cs="Arial"/>
                <w:bCs/>
                <w:sz w:val="20"/>
                <w:szCs w:val="20"/>
              </w:rPr>
              <w:tab/>
              <w:t>by 2030 double the agricultural productivity and the incomes of small-scale food producers, particularly women, indigenous peoples, family farmers, pastoralists and fishers, including through secure and equal access to land, other productive resources and inputs, knowledge, financial services, markets, and opportunities for value addition and non-farm employment</w:t>
            </w:r>
          </w:p>
          <w:p w:rsidR="004136A3" w:rsidRPr="00855AF8" w:rsidRDefault="004136A3" w:rsidP="005A1486">
            <w:pPr>
              <w:jc w:val="both"/>
              <w:rPr>
                <w:rFonts w:ascii="Arial" w:hAnsi="Arial" w:cs="Arial"/>
                <w:b/>
                <w:bCs/>
                <w:sz w:val="20"/>
                <w:szCs w:val="20"/>
              </w:rPr>
            </w:pPr>
          </w:p>
          <w:p w:rsidR="004136A3" w:rsidRPr="00855AF8" w:rsidRDefault="004136A3" w:rsidP="005A1486">
            <w:pPr>
              <w:jc w:val="both"/>
              <w:rPr>
                <w:rFonts w:ascii="Arial" w:hAnsi="Arial" w:cs="Arial"/>
                <w:sz w:val="20"/>
                <w:szCs w:val="20"/>
              </w:rPr>
            </w:pPr>
            <w:r w:rsidRPr="00855AF8">
              <w:rPr>
                <w:rFonts w:ascii="Arial" w:hAnsi="Arial" w:cs="Arial"/>
                <w:sz w:val="20"/>
                <w:szCs w:val="20"/>
              </w:rPr>
              <w:t>2.</w:t>
            </w:r>
            <w:r>
              <w:rPr>
                <w:rFonts w:ascii="Arial" w:hAnsi="Arial" w:cs="Arial"/>
                <w:sz w:val="20"/>
                <w:szCs w:val="20"/>
              </w:rPr>
              <w:t>4</w:t>
            </w:r>
            <w:r w:rsidRPr="00855AF8">
              <w:rPr>
                <w:rFonts w:ascii="Arial" w:hAnsi="Arial" w:cs="Arial"/>
                <w:sz w:val="20"/>
                <w:szCs w:val="20"/>
              </w:rPr>
              <w:t xml:space="preserve">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p>
          <w:p w:rsidR="004136A3" w:rsidRPr="009C1C09" w:rsidRDefault="004136A3" w:rsidP="001964FF">
            <w:pPr>
              <w:rPr>
                <w:rFonts w:ascii="Arial" w:hAnsi="Arial" w:cs="Arial"/>
                <w:b/>
                <w:color w:val="000000"/>
                <w:sz w:val="20"/>
                <w:szCs w:val="20"/>
              </w:rPr>
            </w:pPr>
          </w:p>
        </w:tc>
        <w:tc>
          <w:tcPr>
            <w:tcW w:w="7371" w:type="dxa"/>
            <w:tcBorders>
              <w:bottom w:val="single" w:sz="4" w:space="0" w:color="auto"/>
            </w:tcBorders>
          </w:tcPr>
          <w:p w:rsidR="00C56231" w:rsidRDefault="00C56231" w:rsidP="00C56231">
            <w:pPr>
              <w:spacing w:before="100" w:beforeAutospacing="1"/>
              <w:ind w:left="360"/>
              <w:rPr>
                <w:rFonts w:ascii="Arial" w:hAnsi="Arial" w:cs="Arial"/>
                <w:sz w:val="20"/>
                <w:szCs w:val="20"/>
              </w:rPr>
            </w:pPr>
          </w:p>
          <w:p w:rsidR="00647A20" w:rsidRPr="00534E62" w:rsidRDefault="00777AD2" w:rsidP="00C56231">
            <w:pPr>
              <w:ind w:left="360"/>
              <w:rPr>
                <w:rFonts w:ascii="Arial" w:hAnsi="Arial" w:cs="Arial"/>
                <w:b/>
                <w:color w:val="0070C0"/>
                <w:sz w:val="20"/>
                <w:szCs w:val="20"/>
              </w:rPr>
            </w:pPr>
            <w:r w:rsidRPr="00534E62">
              <w:rPr>
                <w:rFonts w:ascii="Arial" w:hAnsi="Arial" w:cs="Arial"/>
                <w:b/>
                <w:color w:val="0070C0"/>
                <w:sz w:val="20"/>
                <w:szCs w:val="20"/>
              </w:rPr>
              <w:t>2.</w:t>
            </w:r>
            <w:r w:rsidR="00CF0545" w:rsidRPr="00534E62">
              <w:rPr>
                <w:rFonts w:ascii="Arial" w:hAnsi="Arial" w:cs="Arial"/>
                <w:b/>
                <w:color w:val="0070C0"/>
                <w:sz w:val="20"/>
                <w:szCs w:val="20"/>
              </w:rPr>
              <w:t>1</w:t>
            </w:r>
            <w:r w:rsidRPr="00534E62">
              <w:rPr>
                <w:rFonts w:ascii="Arial" w:hAnsi="Arial" w:cs="Arial"/>
                <w:b/>
                <w:color w:val="0070C0"/>
                <w:sz w:val="20"/>
                <w:szCs w:val="20"/>
              </w:rPr>
              <w:t xml:space="preserve">.1 </w:t>
            </w:r>
            <w:r w:rsidR="00647A20" w:rsidRPr="00534E62">
              <w:rPr>
                <w:rFonts w:ascii="Arial" w:hAnsi="Arial" w:cs="Arial"/>
                <w:b/>
                <w:color w:val="0070C0"/>
                <w:sz w:val="20"/>
                <w:szCs w:val="20"/>
              </w:rPr>
              <w:t xml:space="preserve">Number of countries implementing and enforcing </w:t>
            </w:r>
            <w:r w:rsidR="00647300" w:rsidRPr="00534E62">
              <w:rPr>
                <w:rFonts w:ascii="Arial" w:hAnsi="Arial" w:cs="Arial"/>
                <w:b/>
                <w:color w:val="0070C0"/>
                <w:sz w:val="20"/>
                <w:szCs w:val="20"/>
              </w:rPr>
              <w:t xml:space="preserve">the </w:t>
            </w:r>
            <w:r w:rsidR="00647A20" w:rsidRPr="00534E62">
              <w:rPr>
                <w:rFonts w:ascii="Arial" w:hAnsi="Arial" w:cs="Arial"/>
                <w:b/>
                <w:color w:val="0070C0"/>
                <w:sz w:val="20"/>
                <w:szCs w:val="20"/>
              </w:rPr>
              <w:t>Codex Alimentarius or equivalent national standards related to reducing chemical contamination in food</w:t>
            </w:r>
          </w:p>
          <w:p w:rsidR="00D27B26" w:rsidRPr="00534E62" w:rsidRDefault="00D27B26" w:rsidP="00C56231">
            <w:pPr>
              <w:ind w:left="360"/>
              <w:rPr>
                <w:rFonts w:ascii="Arial" w:hAnsi="Arial" w:cs="Arial"/>
                <w:b/>
                <w:color w:val="0070C0"/>
                <w:sz w:val="20"/>
                <w:szCs w:val="20"/>
              </w:rPr>
            </w:pPr>
          </w:p>
          <w:p w:rsidR="00777AD2" w:rsidRPr="00534E62" w:rsidRDefault="00777AD2" w:rsidP="00777AD2">
            <w:pPr>
              <w:ind w:left="360"/>
              <w:rPr>
                <w:rFonts w:ascii="Arial" w:hAnsi="Arial" w:cs="Arial"/>
                <w:b/>
                <w:color w:val="0070C0"/>
                <w:sz w:val="20"/>
              </w:rPr>
            </w:pPr>
            <w:r w:rsidRPr="00534E62">
              <w:rPr>
                <w:rFonts w:ascii="Arial" w:hAnsi="Arial" w:cs="Arial"/>
                <w:b/>
                <w:color w:val="0070C0"/>
                <w:sz w:val="20"/>
              </w:rPr>
              <w:t>2.1.2</w:t>
            </w:r>
            <w:r w:rsidR="008148B8" w:rsidRPr="00534E62">
              <w:rPr>
                <w:rFonts w:ascii="Arial" w:hAnsi="Arial" w:cs="Arial"/>
                <w:b/>
                <w:color w:val="0070C0"/>
                <w:sz w:val="20"/>
              </w:rPr>
              <w:t xml:space="preserve"> </w:t>
            </w:r>
            <w:r w:rsidRPr="00534E62">
              <w:rPr>
                <w:rFonts w:ascii="Arial" w:hAnsi="Arial" w:cs="Arial"/>
                <w:b/>
                <w:color w:val="0070C0"/>
                <w:sz w:val="20"/>
              </w:rPr>
              <w:t>Levels of hazardous pesticides and industrial chemicals in food</w:t>
            </w:r>
          </w:p>
          <w:p w:rsidR="00647A20" w:rsidRPr="00534E62" w:rsidRDefault="00647A20" w:rsidP="00647A20">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2.</w:t>
            </w:r>
            <w:r w:rsidR="008148B8" w:rsidRPr="00534E62">
              <w:rPr>
                <w:rFonts w:ascii="Arial" w:hAnsi="Arial" w:cs="Arial"/>
                <w:b/>
                <w:color w:val="0070C0"/>
                <w:sz w:val="20"/>
                <w:szCs w:val="20"/>
              </w:rPr>
              <w:t>1</w:t>
            </w:r>
            <w:r w:rsidRPr="00534E62">
              <w:rPr>
                <w:rFonts w:ascii="Arial" w:hAnsi="Arial" w:cs="Arial"/>
                <w:b/>
                <w:color w:val="0070C0"/>
                <w:sz w:val="20"/>
                <w:szCs w:val="20"/>
              </w:rPr>
              <w:t>.</w:t>
            </w:r>
            <w:r w:rsidR="008148B8" w:rsidRPr="00534E62">
              <w:rPr>
                <w:rFonts w:ascii="Arial" w:hAnsi="Arial" w:cs="Arial"/>
                <w:b/>
                <w:color w:val="0070C0"/>
                <w:sz w:val="20"/>
                <w:szCs w:val="20"/>
              </w:rPr>
              <w:t>3</w:t>
            </w:r>
            <w:r w:rsidRPr="00534E62">
              <w:rPr>
                <w:rFonts w:ascii="Arial" w:hAnsi="Arial" w:cs="Arial"/>
                <w:b/>
                <w:color w:val="0070C0"/>
                <w:sz w:val="20"/>
                <w:szCs w:val="20"/>
              </w:rPr>
              <w:t xml:space="preserve"> Number of countries that have taken action to identify and replace highly hazardous pesticides</w:t>
            </w:r>
          </w:p>
          <w:p w:rsidR="00647300" w:rsidRDefault="00647300" w:rsidP="00647300">
            <w:pPr>
              <w:pStyle w:val="ListParagraph"/>
              <w:ind w:left="344"/>
              <w:contextualSpacing w:val="0"/>
              <w:rPr>
                <w:rFonts w:ascii="Arial" w:hAnsi="Arial" w:cs="Arial"/>
                <w:sz w:val="20"/>
                <w:szCs w:val="20"/>
              </w:rPr>
            </w:pPr>
          </w:p>
          <w:p w:rsidR="004136A3" w:rsidRDefault="00647A20" w:rsidP="00647300">
            <w:pPr>
              <w:pStyle w:val="ListParagraph"/>
              <w:ind w:left="344"/>
              <w:contextualSpacing w:val="0"/>
              <w:rPr>
                <w:rFonts w:ascii="Arial" w:hAnsi="Arial" w:cs="Arial"/>
                <w:sz w:val="20"/>
                <w:szCs w:val="20"/>
              </w:rPr>
            </w:pPr>
            <w:r>
              <w:rPr>
                <w:rFonts w:ascii="Arial" w:hAnsi="Arial" w:cs="Arial"/>
                <w:sz w:val="20"/>
                <w:szCs w:val="20"/>
              </w:rPr>
              <w:t>See 2.1.1</w:t>
            </w:r>
            <w:r w:rsidR="008148B8">
              <w:rPr>
                <w:rFonts w:ascii="Arial" w:hAnsi="Arial" w:cs="Arial"/>
                <w:sz w:val="20"/>
                <w:szCs w:val="20"/>
              </w:rPr>
              <w:t>,</w:t>
            </w:r>
            <w:r>
              <w:rPr>
                <w:rFonts w:ascii="Arial" w:hAnsi="Arial" w:cs="Arial"/>
                <w:sz w:val="20"/>
                <w:szCs w:val="20"/>
              </w:rPr>
              <w:t xml:space="preserve"> 2.</w:t>
            </w:r>
            <w:r w:rsidR="008148B8">
              <w:rPr>
                <w:rFonts w:ascii="Arial" w:hAnsi="Arial" w:cs="Arial"/>
                <w:sz w:val="20"/>
                <w:szCs w:val="20"/>
              </w:rPr>
              <w:t>1</w:t>
            </w:r>
            <w:r>
              <w:rPr>
                <w:rFonts w:ascii="Arial" w:hAnsi="Arial" w:cs="Arial"/>
                <w:sz w:val="20"/>
                <w:szCs w:val="20"/>
              </w:rPr>
              <w:t>.</w:t>
            </w:r>
            <w:r w:rsidR="008148B8">
              <w:rPr>
                <w:rFonts w:ascii="Arial" w:hAnsi="Arial" w:cs="Arial"/>
                <w:sz w:val="20"/>
                <w:szCs w:val="20"/>
              </w:rPr>
              <w:t>2 and 2.1.3</w:t>
            </w:r>
          </w:p>
          <w:p w:rsidR="004136A3" w:rsidRDefault="004136A3" w:rsidP="00647300">
            <w:pPr>
              <w:pStyle w:val="ListParagraph"/>
              <w:ind w:left="344"/>
              <w:contextualSpacing w:val="0"/>
              <w:rPr>
                <w:rFonts w:ascii="Arial" w:hAnsi="Arial" w:cs="Arial"/>
                <w:sz w:val="20"/>
                <w:szCs w:val="20"/>
              </w:rPr>
            </w:pPr>
          </w:p>
          <w:p w:rsidR="004136A3" w:rsidRDefault="004136A3" w:rsidP="00647300">
            <w:pPr>
              <w:pStyle w:val="ListParagraph"/>
              <w:ind w:left="344"/>
              <w:contextualSpacing w:val="0"/>
              <w:rPr>
                <w:rFonts w:ascii="Arial" w:hAnsi="Arial" w:cs="Arial"/>
                <w:sz w:val="20"/>
                <w:szCs w:val="20"/>
              </w:rPr>
            </w:pPr>
          </w:p>
          <w:p w:rsidR="00647300" w:rsidRDefault="00647300" w:rsidP="00647300">
            <w:pPr>
              <w:pStyle w:val="ListParagraph"/>
              <w:ind w:left="344"/>
              <w:contextualSpacing w:val="0"/>
              <w:rPr>
                <w:rFonts w:ascii="Arial" w:hAnsi="Arial" w:cs="Arial"/>
                <w:sz w:val="20"/>
                <w:szCs w:val="20"/>
              </w:rPr>
            </w:pPr>
          </w:p>
          <w:p w:rsidR="00647300" w:rsidRDefault="00647300" w:rsidP="00647300">
            <w:pPr>
              <w:pStyle w:val="ListParagraph"/>
              <w:ind w:left="344"/>
              <w:contextualSpacing w:val="0"/>
              <w:rPr>
                <w:rFonts w:ascii="Arial" w:hAnsi="Arial" w:cs="Arial"/>
                <w:sz w:val="20"/>
                <w:szCs w:val="20"/>
              </w:rPr>
            </w:pPr>
          </w:p>
          <w:p w:rsidR="00647300" w:rsidRDefault="00647300" w:rsidP="00647300">
            <w:pPr>
              <w:pStyle w:val="ListParagraph"/>
              <w:ind w:left="344"/>
              <w:contextualSpacing w:val="0"/>
              <w:rPr>
                <w:rFonts w:ascii="Arial" w:hAnsi="Arial" w:cs="Arial"/>
                <w:sz w:val="20"/>
                <w:szCs w:val="20"/>
              </w:rPr>
            </w:pPr>
          </w:p>
          <w:p w:rsidR="00723199" w:rsidRDefault="00723199" w:rsidP="00647300">
            <w:pPr>
              <w:pStyle w:val="ListParagraph"/>
              <w:ind w:left="344"/>
              <w:contextualSpacing w:val="0"/>
              <w:rPr>
                <w:rFonts w:ascii="Arial" w:hAnsi="Arial" w:cs="Arial"/>
                <w:sz w:val="20"/>
                <w:szCs w:val="20"/>
              </w:rPr>
            </w:pPr>
            <w:r>
              <w:rPr>
                <w:rFonts w:ascii="Arial" w:hAnsi="Arial" w:cs="Arial"/>
                <w:sz w:val="20"/>
                <w:szCs w:val="20"/>
              </w:rPr>
              <w:t>See 2.1.1, 2.1.2 and 2.1.3</w:t>
            </w:r>
          </w:p>
          <w:p w:rsidR="004136A3" w:rsidRDefault="004136A3" w:rsidP="007D3571">
            <w:pPr>
              <w:pStyle w:val="ListParagraph"/>
              <w:spacing w:before="100" w:beforeAutospacing="1" w:after="100" w:afterAutospacing="1"/>
              <w:ind w:left="344"/>
              <w:contextualSpacing w:val="0"/>
              <w:rPr>
                <w:rFonts w:ascii="Arial" w:hAnsi="Arial" w:cs="Arial"/>
                <w:sz w:val="20"/>
                <w:szCs w:val="20"/>
              </w:rPr>
            </w:pPr>
          </w:p>
          <w:p w:rsidR="00723199" w:rsidRDefault="00723199" w:rsidP="007D3571">
            <w:pPr>
              <w:pStyle w:val="ListParagraph"/>
              <w:spacing w:before="100" w:beforeAutospacing="1" w:after="100" w:afterAutospacing="1"/>
              <w:ind w:left="344"/>
              <w:contextualSpacing w:val="0"/>
              <w:rPr>
                <w:rFonts w:ascii="Arial" w:hAnsi="Arial" w:cs="Arial"/>
                <w:sz w:val="20"/>
                <w:szCs w:val="20"/>
              </w:rPr>
            </w:pPr>
          </w:p>
          <w:p w:rsidR="00723199" w:rsidRDefault="00723199" w:rsidP="007D3571">
            <w:pPr>
              <w:pStyle w:val="ListParagraph"/>
              <w:spacing w:before="100" w:beforeAutospacing="1" w:after="100" w:afterAutospacing="1"/>
              <w:ind w:left="344"/>
              <w:contextualSpacing w:val="0"/>
              <w:rPr>
                <w:rFonts w:ascii="Arial" w:hAnsi="Arial" w:cs="Arial"/>
                <w:sz w:val="20"/>
                <w:szCs w:val="20"/>
              </w:rPr>
            </w:pPr>
          </w:p>
          <w:p w:rsidR="00C56231" w:rsidRDefault="00C56231" w:rsidP="00C56231">
            <w:pPr>
              <w:pStyle w:val="ListParagraph"/>
              <w:ind w:left="344"/>
              <w:contextualSpacing w:val="0"/>
              <w:rPr>
                <w:rFonts w:ascii="Arial" w:hAnsi="Arial" w:cs="Arial"/>
                <w:sz w:val="20"/>
                <w:szCs w:val="20"/>
              </w:rPr>
            </w:pPr>
          </w:p>
          <w:p w:rsidR="004136A3" w:rsidRPr="009C1C09" w:rsidRDefault="004136A3" w:rsidP="00C56231">
            <w:pPr>
              <w:pStyle w:val="ListParagraph"/>
              <w:ind w:left="344"/>
              <w:contextualSpacing w:val="0"/>
              <w:rPr>
                <w:rFonts w:ascii="Arial" w:hAnsi="Arial" w:cs="Arial"/>
                <w:sz w:val="20"/>
                <w:szCs w:val="20"/>
              </w:rPr>
            </w:pPr>
            <w:r>
              <w:rPr>
                <w:rFonts w:ascii="Arial" w:hAnsi="Arial" w:cs="Arial"/>
                <w:sz w:val="20"/>
                <w:szCs w:val="20"/>
              </w:rPr>
              <w:t xml:space="preserve">2.4.1 </w:t>
            </w:r>
            <w:r w:rsidRPr="009C1C09">
              <w:rPr>
                <w:rFonts w:ascii="Arial" w:hAnsi="Arial" w:cs="Arial"/>
                <w:sz w:val="20"/>
                <w:szCs w:val="20"/>
              </w:rPr>
              <w:t>Number of countries with operational evaluation and registration systems for pesticides</w:t>
            </w:r>
          </w:p>
          <w:p w:rsidR="004136A3" w:rsidRPr="009C1C09" w:rsidRDefault="004136A3" w:rsidP="007D3571">
            <w:pPr>
              <w:pStyle w:val="ListParagraph"/>
              <w:spacing w:before="100" w:beforeAutospacing="1" w:after="100" w:afterAutospacing="1"/>
              <w:ind w:left="344"/>
              <w:contextualSpacing w:val="0"/>
              <w:rPr>
                <w:rFonts w:ascii="Arial" w:hAnsi="Arial" w:cs="Arial"/>
                <w:sz w:val="20"/>
                <w:szCs w:val="20"/>
              </w:rPr>
            </w:pPr>
            <w:r>
              <w:rPr>
                <w:rFonts w:ascii="Arial" w:hAnsi="Arial" w:cs="Arial"/>
                <w:sz w:val="20"/>
                <w:szCs w:val="20"/>
              </w:rPr>
              <w:t>2.4.</w:t>
            </w:r>
            <w:r w:rsidR="00647A20">
              <w:rPr>
                <w:rFonts w:ascii="Arial" w:hAnsi="Arial" w:cs="Arial"/>
                <w:sz w:val="20"/>
                <w:szCs w:val="20"/>
              </w:rPr>
              <w:t>2</w:t>
            </w:r>
            <w:r>
              <w:rPr>
                <w:rFonts w:ascii="Arial" w:hAnsi="Arial" w:cs="Arial"/>
                <w:sz w:val="20"/>
                <w:szCs w:val="20"/>
              </w:rPr>
              <w:t xml:space="preserve"> </w:t>
            </w:r>
            <w:r w:rsidRPr="009C1C09">
              <w:rPr>
                <w:rFonts w:ascii="Arial" w:hAnsi="Arial" w:cs="Arial"/>
                <w:sz w:val="20"/>
                <w:szCs w:val="20"/>
              </w:rPr>
              <w:t xml:space="preserve">Number of countries where national policy supports integrated pest management (IPM) </w:t>
            </w:r>
          </w:p>
          <w:p w:rsidR="004136A3" w:rsidRPr="009C1C09" w:rsidRDefault="004136A3" w:rsidP="007D3571">
            <w:pPr>
              <w:pStyle w:val="ListParagraph"/>
              <w:spacing w:before="100" w:beforeAutospacing="1" w:after="100" w:afterAutospacing="1"/>
              <w:ind w:left="344"/>
              <w:contextualSpacing w:val="0"/>
              <w:rPr>
                <w:rFonts w:ascii="Arial" w:hAnsi="Arial" w:cs="Arial"/>
                <w:sz w:val="20"/>
                <w:szCs w:val="20"/>
              </w:rPr>
            </w:pPr>
            <w:r>
              <w:rPr>
                <w:rFonts w:ascii="Arial" w:hAnsi="Arial" w:cs="Arial"/>
                <w:sz w:val="20"/>
                <w:szCs w:val="20"/>
              </w:rPr>
              <w:t>2.4.</w:t>
            </w:r>
            <w:r w:rsidR="00647A20">
              <w:rPr>
                <w:rFonts w:ascii="Arial" w:hAnsi="Arial" w:cs="Arial"/>
                <w:sz w:val="20"/>
                <w:szCs w:val="20"/>
              </w:rPr>
              <w:t>3</w:t>
            </w:r>
            <w:r>
              <w:rPr>
                <w:rFonts w:ascii="Arial" w:hAnsi="Arial" w:cs="Arial"/>
                <w:sz w:val="20"/>
                <w:szCs w:val="20"/>
              </w:rPr>
              <w:t xml:space="preserve"> </w:t>
            </w:r>
            <w:r w:rsidRPr="009C1C09">
              <w:rPr>
                <w:rFonts w:ascii="Arial" w:hAnsi="Arial" w:cs="Arial"/>
                <w:sz w:val="20"/>
                <w:szCs w:val="20"/>
              </w:rPr>
              <w:t xml:space="preserve">Number of countries where integrated vector management (IVM) </w:t>
            </w:r>
            <w:r w:rsidRPr="009C1C09">
              <w:rPr>
                <w:rFonts w:ascii="Arial" w:hAnsi="Arial" w:cs="Arial"/>
                <w:sz w:val="20"/>
                <w:szCs w:val="20"/>
              </w:rPr>
              <w:lastRenderedPageBreak/>
              <w:t>national strategies</w:t>
            </w:r>
            <w:r>
              <w:rPr>
                <w:rFonts w:ascii="Arial" w:hAnsi="Arial" w:cs="Arial"/>
                <w:sz w:val="20"/>
                <w:szCs w:val="20"/>
              </w:rPr>
              <w:t>,</w:t>
            </w:r>
            <w:r w:rsidRPr="009C1C09">
              <w:rPr>
                <w:rFonts w:ascii="Arial" w:hAnsi="Arial" w:cs="Arial"/>
                <w:sz w:val="20"/>
                <w:szCs w:val="20"/>
              </w:rPr>
              <w:t xml:space="preserve"> plans and implementation are in place</w:t>
            </w:r>
          </w:p>
          <w:p w:rsidR="004136A3" w:rsidRPr="009C1C09" w:rsidRDefault="004136A3" w:rsidP="007D3571">
            <w:pPr>
              <w:pStyle w:val="ListParagraph"/>
              <w:spacing w:before="100" w:beforeAutospacing="1" w:after="100" w:afterAutospacing="1"/>
              <w:ind w:left="344"/>
              <w:contextualSpacing w:val="0"/>
              <w:rPr>
                <w:rFonts w:ascii="Arial" w:hAnsi="Arial" w:cs="Arial"/>
                <w:sz w:val="20"/>
                <w:szCs w:val="20"/>
              </w:rPr>
            </w:pPr>
            <w:r>
              <w:rPr>
                <w:rFonts w:ascii="Arial" w:hAnsi="Arial" w:cs="Arial"/>
                <w:sz w:val="20"/>
                <w:szCs w:val="20"/>
              </w:rPr>
              <w:t>2.4.</w:t>
            </w:r>
            <w:r w:rsidR="00647A20">
              <w:rPr>
                <w:rFonts w:ascii="Arial" w:hAnsi="Arial" w:cs="Arial"/>
                <w:sz w:val="20"/>
                <w:szCs w:val="20"/>
              </w:rPr>
              <w:t>4</w:t>
            </w:r>
            <w:r>
              <w:rPr>
                <w:rFonts w:ascii="Arial" w:hAnsi="Arial" w:cs="Arial"/>
                <w:sz w:val="20"/>
                <w:szCs w:val="20"/>
              </w:rPr>
              <w:t xml:space="preserve"> </w:t>
            </w:r>
            <w:r w:rsidRPr="009C1C09">
              <w:rPr>
                <w:rFonts w:ascii="Arial" w:hAnsi="Arial" w:cs="Arial"/>
                <w:sz w:val="20"/>
                <w:szCs w:val="20"/>
              </w:rPr>
              <w:t>Proportion of obsolete pesticides disposed of  in an environmentally sound manner / total obsolete pesticides</w:t>
            </w:r>
          </w:p>
          <w:p w:rsidR="004136A3" w:rsidRDefault="004136A3" w:rsidP="007D3571">
            <w:pPr>
              <w:pStyle w:val="ListParagraph"/>
              <w:spacing w:before="100" w:beforeAutospacing="1" w:after="100" w:afterAutospacing="1"/>
              <w:ind w:left="360"/>
              <w:rPr>
                <w:rFonts w:ascii="Arial" w:hAnsi="Arial" w:cs="Arial"/>
                <w:color w:val="000000"/>
                <w:sz w:val="20"/>
                <w:szCs w:val="20"/>
              </w:rPr>
            </w:pPr>
            <w:r>
              <w:rPr>
                <w:rFonts w:ascii="Arial" w:hAnsi="Arial" w:cs="Arial"/>
                <w:sz w:val="20"/>
                <w:szCs w:val="20"/>
              </w:rPr>
              <w:t>2.4.</w:t>
            </w:r>
            <w:r w:rsidR="00647A20">
              <w:rPr>
                <w:rFonts w:ascii="Arial" w:hAnsi="Arial" w:cs="Arial"/>
                <w:sz w:val="20"/>
                <w:szCs w:val="20"/>
              </w:rPr>
              <w:t>5</w:t>
            </w:r>
            <w:r>
              <w:rPr>
                <w:rFonts w:ascii="Arial" w:hAnsi="Arial" w:cs="Arial"/>
                <w:sz w:val="20"/>
                <w:szCs w:val="20"/>
              </w:rPr>
              <w:t xml:space="preserve"> </w:t>
            </w:r>
            <w:r w:rsidRPr="009C1C09">
              <w:rPr>
                <w:rFonts w:ascii="Arial" w:hAnsi="Arial" w:cs="Arial"/>
                <w:color w:val="000000"/>
                <w:sz w:val="20"/>
                <w:szCs w:val="20"/>
              </w:rPr>
              <w:t>Number of countries effectively implementing and reporting on the requirements of the Rotterdam Convention</w:t>
            </w:r>
          </w:p>
          <w:p w:rsidR="004136A3" w:rsidRDefault="004136A3" w:rsidP="007D3571">
            <w:pPr>
              <w:pStyle w:val="ListParagraph"/>
              <w:spacing w:before="100" w:beforeAutospacing="1" w:after="100" w:afterAutospacing="1"/>
              <w:ind w:left="360"/>
              <w:rPr>
                <w:rFonts w:ascii="Arial" w:hAnsi="Arial" w:cs="Arial"/>
                <w:color w:val="000000"/>
                <w:sz w:val="20"/>
                <w:szCs w:val="20"/>
              </w:rPr>
            </w:pPr>
          </w:p>
          <w:p w:rsidR="004136A3" w:rsidRDefault="004136A3" w:rsidP="007D3571">
            <w:pPr>
              <w:pStyle w:val="ListParagraph"/>
              <w:spacing w:before="100" w:beforeAutospacing="1" w:after="100" w:afterAutospacing="1"/>
              <w:ind w:left="360"/>
              <w:rPr>
                <w:rFonts w:ascii="Arial" w:hAnsi="Arial" w:cs="Arial"/>
                <w:color w:val="000000"/>
                <w:sz w:val="20"/>
                <w:szCs w:val="20"/>
              </w:rPr>
            </w:pPr>
            <w:r>
              <w:rPr>
                <w:rFonts w:ascii="Arial" w:hAnsi="Arial" w:cs="Arial"/>
                <w:sz w:val="20"/>
                <w:szCs w:val="20"/>
              </w:rPr>
              <w:t>2.4.</w:t>
            </w:r>
            <w:r w:rsidR="00647A20">
              <w:rPr>
                <w:rFonts w:ascii="Arial" w:hAnsi="Arial" w:cs="Arial"/>
                <w:sz w:val="20"/>
                <w:szCs w:val="20"/>
              </w:rPr>
              <w:t>6</w:t>
            </w:r>
            <w:r>
              <w:rPr>
                <w:rFonts w:ascii="Arial" w:hAnsi="Arial" w:cs="Arial"/>
                <w:sz w:val="20"/>
                <w:szCs w:val="20"/>
              </w:rPr>
              <w:t xml:space="preserve"> </w:t>
            </w:r>
            <w:r w:rsidR="00647A20">
              <w:rPr>
                <w:rFonts w:ascii="Arial" w:hAnsi="Arial" w:cs="Arial"/>
                <w:sz w:val="20"/>
                <w:szCs w:val="20"/>
              </w:rPr>
              <w:t>P</w:t>
            </w:r>
            <w:r w:rsidRPr="009C1C09">
              <w:rPr>
                <w:rFonts w:ascii="Arial" w:hAnsi="Arial" w:cs="Arial"/>
                <w:color w:val="000000"/>
                <w:sz w:val="20"/>
                <w:szCs w:val="20"/>
              </w:rPr>
              <w:t xml:space="preserve">roportion of biopesticides to chemical pesticides registered for use in agriculture </w:t>
            </w:r>
          </w:p>
          <w:p w:rsidR="00773584" w:rsidRDefault="00773584" w:rsidP="007D3571">
            <w:pPr>
              <w:pStyle w:val="ListParagraph"/>
              <w:spacing w:before="100" w:beforeAutospacing="1" w:after="100" w:afterAutospacing="1"/>
              <w:ind w:left="360"/>
              <w:rPr>
                <w:rFonts w:ascii="Arial" w:hAnsi="Arial" w:cs="Arial"/>
                <w:sz w:val="20"/>
                <w:szCs w:val="20"/>
              </w:rPr>
            </w:pPr>
          </w:p>
          <w:p w:rsidR="00773584" w:rsidRDefault="00773584" w:rsidP="007D3571">
            <w:pPr>
              <w:pStyle w:val="ListParagraph"/>
              <w:spacing w:before="100" w:beforeAutospacing="1" w:after="100" w:afterAutospacing="1"/>
              <w:ind w:left="360"/>
              <w:rPr>
                <w:rFonts w:ascii="Arial" w:hAnsi="Arial" w:cs="Arial"/>
                <w:sz w:val="20"/>
                <w:szCs w:val="20"/>
              </w:rPr>
            </w:pPr>
            <w:r>
              <w:rPr>
                <w:rFonts w:ascii="Arial" w:hAnsi="Arial" w:cs="Arial"/>
                <w:sz w:val="20"/>
                <w:szCs w:val="20"/>
              </w:rPr>
              <w:t xml:space="preserve">2.4.7 </w:t>
            </w:r>
            <w:r w:rsidRPr="00773584">
              <w:rPr>
                <w:rFonts w:ascii="Arial" w:hAnsi="Arial" w:cs="Arial"/>
                <w:sz w:val="20"/>
                <w:szCs w:val="20"/>
              </w:rPr>
              <w:t>Accident rate involving poisoning by chemicals /  pesticides</w:t>
            </w:r>
          </w:p>
          <w:p w:rsidR="00773584" w:rsidRDefault="00773584" w:rsidP="007D3571">
            <w:pPr>
              <w:pStyle w:val="ListParagraph"/>
              <w:spacing w:before="100" w:beforeAutospacing="1" w:after="100" w:afterAutospacing="1"/>
              <w:ind w:left="360"/>
              <w:rPr>
                <w:rFonts w:ascii="Arial" w:hAnsi="Arial" w:cs="Arial"/>
                <w:sz w:val="20"/>
                <w:szCs w:val="20"/>
              </w:rPr>
            </w:pPr>
          </w:p>
          <w:p w:rsidR="00C56231" w:rsidRDefault="00773584" w:rsidP="00C56231">
            <w:pPr>
              <w:pStyle w:val="ListParagraph"/>
              <w:spacing w:before="100" w:beforeAutospacing="1" w:after="100" w:afterAutospacing="1"/>
              <w:ind w:left="360"/>
              <w:rPr>
                <w:rFonts w:ascii="Arial" w:hAnsi="Arial" w:cs="Arial"/>
                <w:sz w:val="20"/>
                <w:szCs w:val="20"/>
              </w:rPr>
            </w:pPr>
            <w:r>
              <w:rPr>
                <w:rFonts w:ascii="Arial" w:hAnsi="Arial" w:cs="Arial"/>
                <w:sz w:val="20"/>
                <w:szCs w:val="20"/>
              </w:rPr>
              <w:t xml:space="preserve">2.4.8 </w:t>
            </w:r>
            <w:r w:rsidRPr="00773584">
              <w:rPr>
                <w:rFonts w:ascii="Arial" w:hAnsi="Arial" w:cs="Arial"/>
                <w:sz w:val="20"/>
                <w:szCs w:val="20"/>
              </w:rPr>
              <w:t xml:space="preserve">Number of farmers trained in </w:t>
            </w:r>
            <w:r>
              <w:rPr>
                <w:rFonts w:ascii="Arial" w:hAnsi="Arial" w:cs="Arial"/>
                <w:sz w:val="20"/>
                <w:szCs w:val="20"/>
              </w:rPr>
              <w:t>i</w:t>
            </w:r>
            <w:r w:rsidRPr="00773584">
              <w:rPr>
                <w:rFonts w:ascii="Arial" w:hAnsi="Arial" w:cs="Arial"/>
                <w:sz w:val="20"/>
                <w:szCs w:val="20"/>
              </w:rPr>
              <w:t xml:space="preserve">ntegrated </w:t>
            </w:r>
            <w:r>
              <w:rPr>
                <w:rFonts w:ascii="Arial" w:hAnsi="Arial" w:cs="Arial"/>
                <w:sz w:val="20"/>
                <w:szCs w:val="20"/>
              </w:rPr>
              <w:t>farm m</w:t>
            </w:r>
            <w:r w:rsidRPr="00773584">
              <w:rPr>
                <w:rFonts w:ascii="Arial" w:hAnsi="Arial" w:cs="Arial"/>
                <w:sz w:val="20"/>
                <w:szCs w:val="20"/>
              </w:rPr>
              <w:t>anagement system</w:t>
            </w: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sz w:val="20"/>
                <w:szCs w:val="20"/>
              </w:rPr>
            </w:pPr>
          </w:p>
          <w:p w:rsidR="00C56231" w:rsidRDefault="00C56231" w:rsidP="00C56231">
            <w:pPr>
              <w:pStyle w:val="ListParagraph"/>
              <w:spacing w:before="100" w:beforeAutospacing="1" w:after="100" w:afterAutospacing="1"/>
              <w:ind w:left="360"/>
              <w:rPr>
                <w:rFonts w:ascii="Arial" w:hAnsi="Arial" w:cs="Arial"/>
                <w:color w:val="000000"/>
                <w:sz w:val="20"/>
                <w:szCs w:val="20"/>
              </w:rPr>
            </w:pPr>
          </w:p>
          <w:p w:rsidR="00C56231" w:rsidRDefault="00C56231" w:rsidP="00773584">
            <w:pPr>
              <w:pStyle w:val="ListParagraph"/>
              <w:autoSpaceDE w:val="0"/>
              <w:autoSpaceDN w:val="0"/>
              <w:adjustRightInd w:val="0"/>
              <w:ind w:left="142"/>
              <w:rPr>
                <w:rFonts w:ascii="Arial" w:hAnsi="Arial" w:cs="Arial"/>
                <w:color w:val="000000"/>
                <w:sz w:val="20"/>
                <w:szCs w:val="20"/>
              </w:rPr>
            </w:pPr>
          </w:p>
          <w:p w:rsidR="00DD4CB6" w:rsidRDefault="00DD4CB6" w:rsidP="00773584">
            <w:pPr>
              <w:pStyle w:val="ListParagraph"/>
              <w:autoSpaceDE w:val="0"/>
              <w:autoSpaceDN w:val="0"/>
              <w:adjustRightInd w:val="0"/>
              <w:ind w:left="142"/>
              <w:rPr>
                <w:rFonts w:ascii="Arial" w:hAnsi="Arial" w:cs="Arial"/>
                <w:color w:val="000000"/>
                <w:sz w:val="20"/>
                <w:szCs w:val="20"/>
              </w:rPr>
            </w:pPr>
          </w:p>
          <w:p w:rsidR="00DD4CB6" w:rsidRDefault="00DD4CB6" w:rsidP="00773584">
            <w:pPr>
              <w:pStyle w:val="ListParagraph"/>
              <w:autoSpaceDE w:val="0"/>
              <w:autoSpaceDN w:val="0"/>
              <w:adjustRightInd w:val="0"/>
              <w:ind w:left="142"/>
              <w:rPr>
                <w:rFonts w:ascii="Arial" w:hAnsi="Arial" w:cs="Arial"/>
                <w:color w:val="000000"/>
                <w:sz w:val="20"/>
                <w:szCs w:val="20"/>
              </w:rPr>
            </w:pPr>
          </w:p>
          <w:p w:rsidR="00DD4CB6" w:rsidRDefault="00DD4CB6" w:rsidP="00773584">
            <w:pPr>
              <w:pStyle w:val="ListParagraph"/>
              <w:autoSpaceDE w:val="0"/>
              <w:autoSpaceDN w:val="0"/>
              <w:adjustRightInd w:val="0"/>
              <w:ind w:left="142"/>
              <w:rPr>
                <w:rFonts w:ascii="Arial" w:hAnsi="Arial" w:cs="Arial"/>
                <w:color w:val="000000"/>
                <w:sz w:val="20"/>
                <w:szCs w:val="20"/>
              </w:rPr>
            </w:pPr>
          </w:p>
          <w:p w:rsidR="00DD4CB6" w:rsidRDefault="00DD4CB6" w:rsidP="00773584">
            <w:pPr>
              <w:pStyle w:val="ListParagraph"/>
              <w:autoSpaceDE w:val="0"/>
              <w:autoSpaceDN w:val="0"/>
              <w:adjustRightInd w:val="0"/>
              <w:ind w:left="142"/>
              <w:rPr>
                <w:rFonts w:ascii="Arial" w:hAnsi="Arial" w:cs="Arial"/>
                <w:color w:val="000000"/>
                <w:sz w:val="20"/>
                <w:szCs w:val="20"/>
              </w:rPr>
            </w:pPr>
          </w:p>
          <w:p w:rsidR="00DD4CB6" w:rsidRPr="009C1C09" w:rsidRDefault="00DD4CB6" w:rsidP="00773584">
            <w:pPr>
              <w:pStyle w:val="ListParagraph"/>
              <w:autoSpaceDE w:val="0"/>
              <w:autoSpaceDN w:val="0"/>
              <w:adjustRightInd w:val="0"/>
              <w:ind w:left="142"/>
              <w:rPr>
                <w:rFonts w:ascii="Arial" w:hAnsi="Arial" w:cs="Arial"/>
                <w:color w:val="000000"/>
                <w:sz w:val="20"/>
                <w:szCs w:val="20"/>
              </w:rPr>
            </w:pPr>
          </w:p>
        </w:tc>
        <w:tc>
          <w:tcPr>
            <w:tcW w:w="1984" w:type="dxa"/>
            <w:tcBorders>
              <w:bottom w:val="single" w:sz="4" w:space="0" w:color="auto"/>
            </w:tcBorders>
          </w:tcPr>
          <w:p w:rsidR="004136A3" w:rsidRDefault="004136A3" w:rsidP="007D3571">
            <w:pPr>
              <w:pStyle w:val="ListParagraph"/>
              <w:spacing w:before="100" w:beforeAutospacing="1" w:after="100" w:afterAutospacing="1"/>
              <w:ind w:left="344"/>
              <w:contextualSpacing w:val="0"/>
              <w:rPr>
                <w:rFonts w:ascii="Arial" w:hAnsi="Arial" w:cs="Arial"/>
                <w:sz w:val="20"/>
                <w:szCs w:val="20"/>
              </w:rPr>
            </w:pPr>
          </w:p>
        </w:tc>
      </w:tr>
      <w:tr w:rsidR="00C56231" w:rsidRPr="009C1C09" w:rsidTr="00C56231">
        <w:trPr>
          <w:trHeight w:val="749"/>
        </w:trPr>
        <w:tc>
          <w:tcPr>
            <w:tcW w:w="14425" w:type="dxa"/>
            <w:gridSpan w:val="3"/>
            <w:tcBorders>
              <w:bottom w:val="single" w:sz="4" w:space="0" w:color="auto"/>
            </w:tcBorders>
            <w:shd w:val="clear" w:color="auto" w:fill="FFC000"/>
            <w:vAlign w:val="center"/>
          </w:tcPr>
          <w:p w:rsidR="00C56231" w:rsidRDefault="00C56231" w:rsidP="00C56231">
            <w:pPr>
              <w:jc w:val="center"/>
              <w:rPr>
                <w:rFonts w:ascii="Arial" w:hAnsi="Arial" w:cs="Arial"/>
                <w:b/>
                <w:bCs/>
                <w:szCs w:val="20"/>
              </w:rPr>
            </w:pPr>
          </w:p>
          <w:p w:rsidR="00C56231" w:rsidRDefault="00C56231" w:rsidP="00C56231">
            <w:pPr>
              <w:jc w:val="center"/>
              <w:rPr>
                <w:rFonts w:ascii="Arial" w:hAnsi="Arial" w:cs="Arial"/>
                <w:b/>
                <w:bCs/>
                <w:szCs w:val="20"/>
              </w:rPr>
            </w:pPr>
            <w:r w:rsidRPr="00C56231">
              <w:rPr>
                <w:rFonts w:ascii="Arial" w:hAnsi="Arial" w:cs="Arial"/>
                <w:b/>
                <w:bCs/>
                <w:szCs w:val="20"/>
              </w:rPr>
              <w:t>Proposed goal 3. Ensure healthy lives and promote well-being for all at all ages</w:t>
            </w:r>
          </w:p>
          <w:p w:rsidR="00C56231" w:rsidRPr="00647A20" w:rsidRDefault="00C56231" w:rsidP="00C56231">
            <w:pPr>
              <w:jc w:val="center"/>
              <w:rPr>
                <w:rFonts w:ascii="Arial" w:eastAsia="SimSun" w:hAnsi="Arial" w:cs="Arial"/>
                <w:color w:val="000000"/>
                <w:sz w:val="20"/>
                <w:szCs w:val="20"/>
              </w:rPr>
            </w:pPr>
          </w:p>
        </w:tc>
      </w:tr>
      <w:tr w:rsidR="004136A3" w:rsidRPr="009C1C09" w:rsidTr="00C56231">
        <w:trPr>
          <w:trHeight w:val="2853"/>
        </w:trPr>
        <w:tc>
          <w:tcPr>
            <w:tcW w:w="5070" w:type="dxa"/>
            <w:tcBorders>
              <w:bottom w:val="single" w:sz="4" w:space="0" w:color="auto"/>
            </w:tcBorders>
          </w:tcPr>
          <w:p w:rsidR="004136A3" w:rsidRPr="00855AF8" w:rsidRDefault="004136A3" w:rsidP="005A1486">
            <w:pPr>
              <w:jc w:val="both"/>
              <w:rPr>
                <w:rFonts w:ascii="Arial" w:hAnsi="Arial" w:cs="Arial"/>
                <w:b/>
                <w:bCs/>
                <w:sz w:val="20"/>
                <w:szCs w:val="20"/>
              </w:rPr>
            </w:pPr>
          </w:p>
          <w:p w:rsidR="004136A3" w:rsidRDefault="004136A3" w:rsidP="005A1486">
            <w:pPr>
              <w:jc w:val="both"/>
              <w:rPr>
                <w:rFonts w:ascii="Arial" w:hAnsi="Arial" w:cs="Arial"/>
                <w:sz w:val="20"/>
                <w:szCs w:val="20"/>
              </w:rPr>
            </w:pPr>
            <w:r w:rsidRPr="00855AF8">
              <w:rPr>
                <w:rFonts w:ascii="Arial" w:hAnsi="Arial" w:cs="Arial"/>
                <w:sz w:val="20"/>
                <w:szCs w:val="20"/>
              </w:rPr>
              <w:t xml:space="preserve">3.1        by 2030 substantially reduce the number of deaths and illnesses from hazardous chemicals and air, water, and soil pollution and contamination </w:t>
            </w:r>
          </w:p>
          <w:p w:rsidR="004136A3" w:rsidRDefault="004136A3"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Default="00647300" w:rsidP="005A1486">
            <w:pPr>
              <w:jc w:val="both"/>
              <w:rPr>
                <w:rFonts w:ascii="Arial" w:hAnsi="Arial" w:cs="Arial"/>
                <w:sz w:val="20"/>
                <w:szCs w:val="20"/>
              </w:rPr>
            </w:pPr>
          </w:p>
          <w:p w:rsidR="00647300" w:rsidRPr="00855AF8" w:rsidRDefault="00647300" w:rsidP="005A1486">
            <w:pPr>
              <w:jc w:val="both"/>
              <w:rPr>
                <w:rFonts w:ascii="Arial" w:hAnsi="Arial" w:cs="Arial"/>
                <w:sz w:val="20"/>
                <w:szCs w:val="20"/>
              </w:rPr>
            </w:pPr>
          </w:p>
          <w:p w:rsidR="004136A3" w:rsidRPr="00720D8F" w:rsidRDefault="004136A3" w:rsidP="001964FF">
            <w:pPr>
              <w:rPr>
                <w:rFonts w:ascii="Arial" w:hAnsi="Arial" w:cs="Arial"/>
                <w:color w:val="000000"/>
                <w:sz w:val="20"/>
                <w:szCs w:val="20"/>
              </w:rPr>
            </w:pPr>
            <w:r w:rsidRPr="00720D8F">
              <w:rPr>
                <w:rFonts w:ascii="Arial" w:hAnsi="Arial" w:cs="Arial"/>
                <w:color w:val="000000"/>
                <w:sz w:val="20"/>
                <w:szCs w:val="20"/>
              </w:rPr>
              <w:t>3.4</w:t>
            </w:r>
            <w:r w:rsidRPr="00720D8F">
              <w:rPr>
                <w:rFonts w:ascii="Arial" w:hAnsi="Arial" w:cs="Arial"/>
                <w:color w:val="000000"/>
                <w:sz w:val="20"/>
                <w:szCs w:val="20"/>
              </w:rPr>
              <w:tab/>
              <w:t>by 2030 reduce by one-third pre-mature mortality from non-communicable diseases (NCDs) through prevention and treatment, and promote mental health and wellbeing</w:t>
            </w:r>
          </w:p>
        </w:tc>
        <w:tc>
          <w:tcPr>
            <w:tcW w:w="7371" w:type="dxa"/>
            <w:tcBorders>
              <w:bottom w:val="single" w:sz="4" w:space="0" w:color="auto"/>
            </w:tcBorders>
          </w:tcPr>
          <w:p w:rsidR="00647300" w:rsidRDefault="00647300" w:rsidP="00647300">
            <w:pPr>
              <w:pStyle w:val="ListParagraph"/>
              <w:autoSpaceDE w:val="0"/>
              <w:autoSpaceDN w:val="0"/>
              <w:ind w:left="360"/>
              <w:contextualSpacing w:val="0"/>
              <w:rPr>
                <w:rFonts w:ascii="Arial" w:hAnsi="Arial" w:cs="Arial"/>
                <w:sz w:val="20"/>
                <w:szCs w:val="20"/>
              </w:rPr>
            </w:pPr>
          </w:p>
          <w:p w:rsidR="00647300" w:rsidRPr="00534E62" w:rsidRDefault="00647300" w:rsidP="00647300">
            <w:pPr>
              <w:pStyle w:val="ListParagraph"/>
              <w:autoSpaceDE w:val="0"/>
              <w:autoSpaceDN w:val="0"/>
              <w:ind w:left="360"/>
              <w:contextualSpacing w:val="0"/>
              <w:rPr>
                <w:rFonts w:ascii="Arial" w:eastAsia="SimSun" w:hAnsi="Arial" w:cs="Arial"/>
                <w:b/>
                <w:color w:val="0070C0"/>
                <w:sz w:val="20"/>
                <w:szCs w:val="20"/>
              </w:rPr>
            </w:pPr>
            <w:r w:rsidRPr="00534E62">
              <w:rPr>
                <w:rFonts w:ascii="Arial" w:hAnsi="Arial" w:cs="Arial"/>
                <w:b/>
                <w:color w:val="0070C0"/>
                <w:sz w:val="20"/>
                <w:szCs w:val="20"/>
              </w:rPr>
              <w:t>3.1.1 Mean population blood lead levels [and other heavy metals/chemicals]  in children</w:t>
            </w:r>
          </w:p>
          <w:p w:rsidR="00647300" w:rsidRPr="009C1C09" w:rsidRDefault="00647300" w:rsidP="00647300">
            <w:pPr>
              <w:pStyle w:val="ListParagraph"/>
              <w:autoSpaceDE w:val="0"/>
              <w:autoSpaceDN w:val="0"/>
              <w:spacing w:before="100" w:beforeAutospacing="1" w:after="100" w:afterAutospacing="1"/>
              <w:ind w:left="360"/>
              <w:contextualSpacing w:val="0"/>
              <w:rPr>
                <w:rFonts w:ascii="Arial" w:eastAsia="SimSun" w:hAnsi="Arial" w:cs="Arial"/>
                <w:color w:val="000000"/>
                <w:sz w:val="20"/>
                <w:szCs w:val="20"/>
              </w:rPr>
            </w:pPr>
            <w:r>
              <w:rPr>
                <w:rFonts w:ascii="Arial" w:hAnsi="Arial" w:cs="Arial"/>
                <w:sz w:val="20"/>
                <w:szCs w:val="20"/>
              </w:rPr>
              <w:t xml:space="preserve">3.1.2 </w:t>
            </w:r>
            <w:r w:rsidRPr="00647A20">
              <w:rPr>
                <w:rFonts w:ascii="Arial" w:hAnsi="Arial" w:cs="Arial"/>
                <w:sz w:val="20"/>
                <w:szCs w:val="20"/>
              </w:rPr>
              <w:t>Concentration of hazardous</w:t>
            </w:r>
            <w:r w:rsidRPr="009C1C09">
              <w:rPr>
                <w:rFonts w:ascii="Arial" w:hAnsi="Arial" w:cs="Arial"/>
                <w:sz w:val="20"/>
                <w:szCs w:val="20"/>
              </w:rPr>
              <w:t xml:space="preserve"> organic compounds in human breast milk </w:t>
            </w:r>
          </w:p>
          <w:p w:rsidR="00647300" w:rsidRPr="009C1C09" w:rsidRDefault="00647300" w:rsidP="00647300">
            <w:pPr>
              <w:pStyle w:val="ListParagraph"/>
              <w:spacing w:before="100" w:beforeAutospacing="1" w:after="100" w:afterAutospacing="1"/>
              <w:ind w:left="360"/>
              <w:contextualSpacing w:val="0"/>
              <w:rPr>
                <w:rFonts w:ascii="Arial" w:hAnsi="Arial" w:cs="Arial"/>
                <w:bCs/>
                <w:sz w:val="20"/>
                <w:szCs w:val="20"/>
              </w:rPr>
            </w:pPr>
            <w:r>
              <w:rPr>
                <w:rFonts w:ascii="Arial" w:hAnsi="Arial" w:cs="Arial"/>
                <w:bCs/>
                <w:sz w:val="20"/>
                <w:szCs w:val="20"/>
              </w:rPr>
              <w:t xml:space="preserve">3.1.3 </w:t>
            </w:r>
            <w:r w:rsidRPr="009C1C09">
              <w:rPr>
                <w:rFonts w:ascii="Arial" w:hAnsi="Arial" w:cs="Arial"/>
                <w:bCs/>
                <w:sz w:val="20"/>
                <w:szCs w:val="20"/>
              </w:rPr>
              <w:t>Levels of persistent toxic substances and heavy metals present in subsistence food supplies such as fish and game.</w:t>
            </w:r>
          </w:p>
          <w:p w:rsidR="00647300" w:rsidRDefault="00647300" w:rsidP="00647300">
            <w:pPr>
              <w:pStyle w:val="ListParagraph"/>
              <w:autoSpaceDE w:val="0"/>
              <w:autoSpaceDN w:val="0"/>
              <w:ind w:left="360"/>
              <w:contextualSpacing w:val="0"/>
              <w:rPr>
                <w:rFonts w:ascii="Arial" w:hAnsi="Arial" w:cs="Arial"/>
                <w:bCs/>
                <w:sz w:val="20"/>
                <w:szCs w:val="20"/>
              </w:rPr>
            </w:pPr>
            <w:r>
              <w:rPr>
                <w:rFonts w:ascii="Arial" w:hAnsi="Arial" w:cs="Arial"/>
                <w:bCs/>
                <w:sz w:val="20"/>
                <w:szCs w:val="20"/>
              </w:rPr>
              <w:t xml:space="preserve">3.1.4 </w:t>
            </w:r>
            <w:r w:rsidRPr="009C1C09">
              <w:rPr>
                <w:rFonts w:ascii="Arial" w:hAnsi="Arial" w:cs="Arial"/>
                <w:bCs/>
                <w:sz w:val="20"/>
                <w:szCs w:val="20"/>
              </w:rPr>
              <w:t>Use of a water source at the household or plot that reliably delivers enough water to meet domestic needs, complies with WHO guideline values for Escherichia coli,</w:t>
            </w:r>
            <w:r>
              <w:rPr>
                <w:rFonts w:ascii="Arial" w:hAnsi="Arial" w:cs="Arial"/>
                <w:bCs/>
                <w:sz w:val="20"/>
                <w:szCs w:val="20"/>
              </w:rPr>
              <w:t xml:space="preserve"> </w:t>
            </w:r>
            <w:r w:rsidRPr="009C1C09">
              <w:rPr>
                <w:rFonts w:ascii="Arial" w:hAnsi="Arial" w:cs="Arial"/>
                <w:bCs/>
                <w:sz w:val="20"/>
                <w:szCs w:val="20"/>
              </w:rPr>
              <w:t>arsenic and fluoride, and is subject</w:t>
            </w:r>
            <w:r>
              <w:rPr>
                <w:rFonts w:ascii="Arial" w:hAnsi="Arial" w:cs="Arial"/>
                <w:bCs/>
                <w:sz w:val="20"/>
                <w:szCs w:val="20"/>
              </w:rPr>
              <w:t xml:space="preserve"> </w:t>
            </w:r>
            <w:r w:rsidRPr="009C1C09">
              <w:rPr>
                <w:rFonts w:ascii="Arial" w:hAnsi="Arial" w:cs="Arial"/>
                <w:bCs/>
                <w:sz w:val="20"/>
                <w:szCs w:val="20"/>
              </w:rPr>
              <w:t>to a verified risk management plan.</w:t>
            </w:r>
          </w:p>
          <w:p w:rsidR="00647300" w:rsidRDefault="00647300" w:rsidP="00647300">
            <w:pPr>
              <w:pStyle w:val="ListParagraph"/>
              <w:autoSpaceDE w:val="0"/>
              <w:autoSpaceDN w:val="0"/>
              <w:ind w:left="360"/>
              <w:contextualSpacing w:val="0"/>
              <w:rPr>
                <w:rFonts w:ascii="Arial" w:hAnsi="Arial" w:cs="Arial"/>
                <w:bCs/>
                <w:sz w:val="20"/>
                <w:szCs w:val="20"/>
              </w:rPr>
            </w:pPr>
          </w:p>
          <w:p w:rsidR="00647300" w:rsidRDefault="00647300" w:rsidP="00647300">
            <w:pPr>
              <w:pStyle w:val="ListParagraph"/>
              <w:autoSpaceDE w:val="0"/>
              <w:autoSpaceDN w:val="0"/>
              <w:ind w:left="360"/>
              <w:contextualSpacing w:val="0"/>
              <w:rPr>
                <w:rFonts w:ascii="Arial" w:eastAsia="SimSun" w:hAnsi="Arial" w:cs="Arial"/>
                <w:color w:val="000000"/>
                <w:sz w:val="20"/>
                <w:szCs w:val="20"/>
              </w:rPr>
            </w:pPr>
          </w:p>
          <w:p w:rsidR="00C56231" w:rsidRDefault="00C56231" w:rsidP="00647300">
            <w:pPr>
              <w:pStyle w:val="ListParagraph"/>
              <w:autoSpaceDE w:val="0"/>
              <w:autoSpaceDN w:val="0"/>
              <w:ind w:left="360"/>
              <w:contextualSpacing w:val="0"/>
              <w:rPr>
                <w:rFonts w:ascii="Arial" w:eastAsia="SimSun" w:hAnsi="Arial" w:cs="Arial"/>
                <w:color w:val="000000"/>
                <w:sz w:val="20"/>
                <w:szCs w:val="20"/>
              </w:rPr>
            </w:pPr>
          </w:p>
          <w:p w:rsidR="004136A3" w:rsidRPr="009C1C09" w:rsidRDefault="00647300" w:rsidP="00647300">
            <w:pPr>
              <w:pStyle w:val="ListParagraph"/>
              <w:autoSpaceDE w:val="0"/>
              <w:autoSpaceDN w:val="0"/>
              <w:ind w:left="360"/>
              <w:contextualSpacing w:val="0"/>
              <w:rPr>
                <w:rFonts w:ascii="Arial" w:eastAsia="SimSun" w:hAnsi="Arial" w:cs="Arial"/>
                <w:color w:val="000000"/>
                <w:sz w:val="20"/>
                <w:szCs w:val="20"/>
              </w:rPr>
            </w:pPr>
            <w:r>
              <w:rPr>
                <w:rFonts w:ascii="Arial" w:eastAsia="SimSun" w:hAnsi="Arial" w:cs="Arial"/>
                <w:color w:val="000000"/>
                <w:sz w:val="20"/>
                <w:szCs w:val="20"/>
              </w:rPr>
              <w:t xml:space="preserve">3.4.1 </w:t>
            </w:r>
            <w:r w:rsidR="004136A3" w:rsidRPr="009C1C09">
              <w:rPr>
                <w:rFonts w:ascii="Arial" w:eastAsia="SimSun" w:hAnsi="Arial" w:cs="Arial"/>
                <w:color w:val="000000"/>
                <w:sz w:val="20"/>
                <w:szCs w:val="20"/>
              </w:rPr>
              <w:t>Proportion of the urban population</w:t>
            </w:r>
            <w:r w:rsidR="007B3EB8">
              <w:rPr>
                <w:rFonts w:ascii="Arial" w:eastAsia="SimSun" w:hAnsi="Arial" w:cs="Arial"/>
                <w:color w:val="000000"/>
                <w:sz w:val="20"/>
                <w:szCs w:val="20"/>
              </w:rPr>
              <w:t xml:space="preserve"> </w:t>
            </w:r>
            <w:r w:rsidR="004136A3" w:rsidRPr="009C1C09">
              <w:rPr>
                <w:rFonts w:ascii="Arial" w:eastAsia="SimSun" w:hAnsi="Arial" w:cs="Arial"/>
                <w:color w:val="000000"/>
                <w:sz w:val="20"/>
                <w:szCs w:val="20"/>
              </w:rPr>
              <w:t>exposed to small/fine urban particulates (PM</w:t>
            </w:r>
            <w:r w:rsidR="004136A3" w:rsidRPr="009C1C09">
              <w:rPr>
                <w:rFonts w:ascii="Arial" w:eastAsia="SimSun" w:hAnsi="Arial" w:cs="Arial"/>
                <w:color w:val="000000"/>
                <w:sz w:val="20"/>
                <w:szCs w:val="20"/>
                <w:vertAlign w:val="subscript"/>
              </w:rPr>
              <w:t>10</w:t>
            </w:r>
            <w:r w:rsidR="004136A3" w:rsidRPr="009C1C09">
              <w:rPr>
                <w:rFonts w:ascii="Arial" w:eastAsia="SimSun" w:hAnsi="Arial" w:cs="Arial"/>
                <w:color w:val="000000"/>
                <w:sz w:val="20"/>
                <w:szCs w:val="20"/>
              </w:rPr>
              <w:t xml:space="preserve"> or PM</w:t>
            </w:r>
            <w:r w:rsidR="004136A3" w:rsidRPr="009C1C09">
              <w:rPr>
                <w:rFonts w:ascii="Arial" w:eastAsia="SimSun" w:hAnsi="Arial" w:cs="Arial"/>
                <w:color w:val="000000"/>
                <w:sz w:val="20"/>
                <w:szCs w:val="20"/>
                <w:vertAlign w:val="subscript"/>
              </w:rPr>
              <w:t>2.5</w:t>
            </w:r>
            <w:r w:rsidR="004136A3" w:rsidRPr="009C1C09">
              <w:rPr>
                <w:rFonts w:ascii="Arial" w:eastAsia="SimSun" w:hAnsi="Arial" w:cs="Arial"/>
                <w:color w:val="000000"/>
                <w:sz w:val="20"/>
                <w:szCs w:val="20"/>
              </w:rPr>
              <w:t>) in concentrations exceeding WHO Air Quality Guidelines</w:t>
            </w:r>
          </w:p>
          <w:p w:rsidR="004136A3" w:rsidRDefault="00647300" w:rsidP="00773584">
            <w:pPr>
              <w:pStyle w:val="ListParagraph"/>
              <w:autoSpaceDE w:val="0"/>
              <w:autoSpaceDN w:val="0"/>
              <w:spacing w:before="100" w:beforeAutospacing="1" w:after="100" w:afterAutospacing="1"/>
              <w:ind w:left="360"/>
              <w:contextualSpacing w:val="0"/>
              <w:rPr>
                <w:rFonts w:ascii="Arial" w:eastAsia="SimSun" w:hAnsi="Arial" w:cs="Arial"/>
                <w:color w:val="000000"/>
                <w:sz w:val="20"/>
                <w:szCs w:val="20"/>
              </w:rPr>
            </w:pPr>
            <w:r>
              <w:rPr>
                <w:rFonts w:ascii="Arial" w:eastAsia="SimSun" w:hAnsi="Arial" w:cs="Arial"/>
                <w:color w:val="000000"/>
                <w:sz w:val="20"/>
                <w:szCs w:val="20"/>
              </w:rPr>
              <w:t xml:space="preserve">3.4. 2 </w:t>
            </w:r>
            <w:r w:rsidR="004136A3" w:rsidRPr="009C1C09">
              <w:rPr>
                <w:rFonts w:ascii="Arial" w:eastAsia="SimSun" w:hAnsi="Arial" w:cs="Arial"/>
                <w:color w:val="000000"/>
                <w:sz w:val="20"/>
                <w:szCs w:val="20"/>
              </w:rPr>
              <w:t>Estimated burden of disease from urban air pollution</w:t>
            </w:r>
          </w:p>
          <w:p w:rsidR="00C56231" w:rsidRDefault="00C56231" w:rsidP="00773584">
            <w:pPr>
              <w:pStyle w:val="ListParagraph"/>
              <w:autoSpaceDE w:val="0"/>
              <w:autoSpaceDN w:val="0"/>
              <w:spacing w:before="100" w:beforeAutospacing="1" w:after="100" w:afterAutospacing="1"/>
              <w:ind w:left="360"/>
              <w:contextualSpacing w:val="0"/>
              <w:rPr>
                <w:rFonts w:ascii="Arial" w:eastAsia="SimSun" w:hAnsi="Arial" w:cs="Arial"/>
                <w:color w:val="000000"/>
                <w:sz w:val="20"/>
                <w:szCs w:val="20"/>
              </w:rPr>
            </w:pPr>
          </w:p>
          <w:p w:rsidR="00C56231" w:rsidRDefault="00C56231" w:rsidP="00773584">
            <w:pPr>
              <w:pStyle w:val="ListParagraph"/>
              <w:autoSpaceDE w:val="0"/>
              <w:autoSpaceDN w:val="0"/>
              <w:spacing w:before="100" w:beforeAutospacing="1" w:after="100" w:afterAutospacing="1"/>
              <w:ind w:left="360"/>
              <w:contextualSpacing w:val="0"/>
              <w:rPr>
                <w:rFonts w:ascii="Arial" w:eastAsia="SimSun" w:hAnsi="Arial" w:cs="Arial"/>
                <w:color w:val="000000"/>
                <w:sz w:val="20"/>
                <w:szCs w:val="20"/>
              </w:rPr>
            </w:pPr>
          </w:p>
          <w:p w:rsidR="00C56231" w:rsidRDefault="00C56231" w:rsidP="00773584">
            <w:pPr>
              <w:pStyle w:val="ListParagraph"/>
              <w:autoSpaceDE w:val="0"/>
              <w:autoSpaceDN w:val="0"/>
              <w:spacing w:before="100" w:beforeAutospacing="1" w:after="100" w:afterAutospacing="1"/>
              <w:ind w:left="360"/>
              <w:contextualSpacing w:val="0"/>
              <w:rPr>
                <w:rFonts w:ascii="Arial" w:hAnsi="Arial" w:cs="Arial"/>
                <w:color w:val="000000"/>
                <w:sz w:val="20"/>
                <w:szCs w:val="20"/>
              </w:rPr>
            </w:pPr>
          </w:p>
          <w:p w:rsidR="00C56231" w:rsidRPr="009C1C09" w:rsidRDefault="00C56231" w:rsidP="00773584">
            <w:pPr>
              <w:pStyle w:val="ListParagraph"/>
              <w:autoSpaceDE w:val="0"/>
              <w:autoSpaceDN w:val="0"/>
              <w:spacing w:before="100" w:beforeAutospacing="1" w:after="100" w:afterAutospacing="1"/>
              <w:ind w:left="360"/>
              <w:contextualSpacing w:val="0"/>
              <w:rPr>
                <w:rFonts w:ascii="Arial" w:hAnsi="Arial" w:cs="Arial"/>
                <w:color w:val="000000"/>
                <w:sz w:val="20"/>
                <w:szCs w:val="20"/>
              </w:rPr>
            </w:pPr>
          </w:p>
        </w:tc>
        <w:tc>
          <w:tcPr>
            <w:tcW w:w="1984" w:type="dxa"/>
            <w:tcBorders>
              <w:bottom w:val="single" w:sz="4" w:space="0" w:color="auto"/>
            </w:tcBorders>
          </w:tcPr>
          <w:p w:rsidR="004136A3" w:rsidRPr="00534E62" w:rsidRDefault="00534E62" w:rsidP="00647A20">
            <w:pPr>
              <w:autoSpaceDE w:val="0"/>
              <w:autoSpaceDN w:val="0"/>
              <w:spacing w:before="100" w:beforeAutospacing="1" w:after="100" w:afterAutospacing="1"/>
              <w:rPr>
                <w:rFonts w:ascii="Arial" w:eastAsia="SimSun" w:hAnsi="Arial" w:cs="Arial"/>
                <w:color w:val="000000"/>
                <w:sz w:val="20"/>
                <w:szCs w:val="20"/>
              </w:rPr>
            </w:pPr>
            <w:r w:rsidRPr="00534E62">
              <w:rPr>
                <w:rFonts w:ascii="Arial" w:hAnsi="Arial" w:cs="Arial"/>
                <w:bCs/>
                <w:sz w:val="20"/>
                <w:szCs w:val="20"/>
              </w:rPr>
              <w:t xml:space="preserve">Same as the indicator on Education </w:t>
            </w:r>
          </w:p>
        </w:tc>
      </w:tr>
      <w:tr w:rsidR="00C56231" w:rsidRPr="009C1C09" w:rsidTr="0069300B">
        <w:trPr>
          <w:trHeight w:val="891"/>
        </w:trPr>
        <w:tc>
          <w:tcPr>
            <w:tcW w:w="14425" w:type="dxa"/>
            <w:gridSpan w:val="3"/>
            <w:tcBorders>
              <w:bottom w:val="single" w:sz="4" w:space="0" w:color="auto"/>
            </w:tcBorders>
            <w:shd w:val="clear" w:color="auto" w:fill="FFC000"/>
            <w:vAlign w:val="center"/>
          </w:tcPr>
          <w:p w:rsidR="00311D12" w:rsidRPr="00311D12" w:rsidRDefault="00C56231" w:rsidP="00311D12">
            <w:pPr>
              <w:jc w:val="center"/>
              <w:rPr>
                <w:rFonts w:ascii="Arial" w:hAnsi="Arial" w:cs="Arial"/>
                <w:b/>
                <w:bCs/>
                <w:szCs w:val="20"/>
              </w:rPr>
            </w:pPr>
            <w:r w:rsidRPr="00C56231">
              <w:rPr>
                <w:rFonts w:ascii="Arial" w:hAnsi="Arial" w:cs="Arial"/>
                <w:b/>
                <w:bCs/>
                <w:szCs w:val="20"/>
              </w:rPr>
              <w:lastRenderedPageBreak/>
              <w:t xml:space="preserve">Proposed goal </w:t>
            </w:r>
            <w:r w:rsidR="00311D12">
              <w:rPr>
                <w:rFonts w:ascii="Arial" w:hAnsi="Arial" w:cs="Arial"/>
                <w:b/>
                <w:bCs/>
                <w:szCs w:val="20"/>
              </w:rPr>
              <w:t>4</w:t>
            </w:r>
            <w:r w:rsidRPr="00C56231">
              <w:rPr>
                <w:rFonts w:ascii="Arial" w:hAnsi="Arial" w:cs="Arial"/>
                <w:b/>
                <w:bCs/>
                <w:szCs w:val="20"/>
              </w:rPr>
              <w:t xml:space="preserve">. </w:t>
            </w:r>
            <w:r w:rsidR="00311D12" w:rsidRPr="00311D12">
              <w:rPr>
                <w:rFonts w:ascii="Arial" w:hAnsi="Arial" w:cs="Arial"/>
                <w:b/>
                <w:bCs/>
                <w:szCs w:val="20"/>
              </w:rPr>
              <w:t>Ensure inclusive and equitable quality education and promote lifelong learning</w:t>
            </w:r>
          </w:p>
          <w:p w:rsidR="00C56231" w:rsidRPr="009C1C09" w:rsidRDefault="00311D12" w:rsidP="00311D12">
            <w:pPr>
              <w:jc w:val="center"/>
              <w:rPr>
                <w:rFonts w:ascii="Arial" w:hAnsi="Arial" w:cs="Arial"/>
                <w:sz w:val="20"/>
                <w:szCs w:val="20"/>
              </w:rPr>
            </w:pPr>
            <w:r w:rsidRPr="00311D12">
              <w:rPr>
                <w:rFonts w:ascii="Arial" w:hAnsi="Arial" w:cs="Arial"/>
                <w:b/>
                <w:bCs/>
                <w:szCs w:val="20"/>
              </w:rPr>
              <w:t>opportunities for all</w:t>
            </w:r>
          </w:p>
        </w:tc>
      </w:tr>
      <w:tr w:rsidR="004136A3" w:rsidRPr="009C1C09" w:rsidTr="00C56231">
        <w:trPr>
          <w:trHeight w:val="2853"/>
        </w:trPr>
        <w:tc>
          <w:tcPr>
            <w:tcW w:w="5070" w:type="dxa"/>
            <w:tcBorders>
              <w:bottom w:val="single" w:sz="4" w:space="0" w:color="auto"/>
            </w:tcBorders>
          </w:tcPr>
          <w:p w:rsidR="004136A3" w:rsidRPr="00855AF8" w:rsidRDefault="004136A3" w:rsidP="005A1486">
            <w:pPr>
              <w:jc w:val="both"/>
              <w:rPr>
                <w:rFonts w:ascii="Arial" w:hAnsi="Arial" w:cs="Arial"/>
                <w:b/>
                <w:bCs/>
                <w:sz w:val="20"/>
                <w:szCs w:val="20"/>
              </w:rPr>
            </w:pPr>
          </w:p>
          <w:p w:rsidR="004136A3" w:rsidRDefault="00311D12" w:rsidP="00311D12">
            <w:pPr>
              <w:jc w:val="both"/>
              <w:rPr>
                <w:rFonts w:ascii="Arial" w:hAnsi="Arial" w:cs="Arial"/>
                <w:sz w:val="20"/>
                <w:szCs w:val="20"/>
              </w:rPr>
            </w:pPr>
            <w:r>
              <w:rPr>
                <w:rFonts w:ascii="Arial" w:hAnsi="Arial" w:cs="Arial"/>
                <w:sz w:val="20"/>
                <w:szCs w:val="20"/>
              </w:rPr>
              <w:t>4</w:t>
            </w:r>
            <w:r w:rsidR="004136A3" w:rsidRPr="00720D8F">
              <w:rPr>
                <w:rFonts w:ascii="Arial" w:hAnsi="Arial" w:cs="Arial"/>
                <w:sz w:val="20"/>
                <w:szCs w:val="20"/>
              </w:rPr>
              <w:t>.</w:t>
            </w:r>
            <w:r>
              <w:rPr>
                <w:rFonts w:ascii="Arial" w:hAnsi="Arial" w:cs="Arial"/>
                <w:sz w:val="20"/>
                <w:szCs w:val="20"/>
              </w:rPr>
              <w:t>7</w:t>
            </w:r>
            <w:r w:rsidR="004136A3" w:rsidRPr="00720D8F">
              <w:rPr>
                <w:rFonts w:ascii="Arial" w:hAnsi="Arial" w:cs="Arial"/>
                <w:sz w:val="20"/>
                <w:szCs w:val="20"/>
              </w:rPr>
              <w:tab/>
            </w:r>
            <w:r w:rsidRPr="00311D12">
              <w:rPr>
                <w:rFonts w:ascii="Arial" w:hAnsi="Arial" w:cs="Arial"/>
                <w:sz w:val="20"/>
                <w:szCs w:val="20"/>
              </w:rPr>
              <w:t>By 2030, ensure that all learners acquire the knowledge and skills needed to promote</w:t>
            </w:r>
            <w:r>
              <w:rPr>
                <w:rFonts w:ascii="Arial" w:hAnsi="Arial" w:cs="Arial"/>
                <w:sz w:val="20"/>
                <w:szCs w:val="20"/>
              </w:rPr>
              <w:t xml:space="preserve"> </w:t>
            </w:r>
            <w:r w:rsidRPr="00311D12">
              <w:rPr>
                <w:rFonts w:ascii="Arial" w:hAnsi="Arial" w:cs="Arial"/>
                <w:sz w:val="20"/>
                <w:szCs w:val="20"/>
              </w:rPr>
              <w:t>sustainable development, including, among others, through education for sustainable development</w:t>
            </w:r>
            <w:r>
              <w:rPr>
                <w:rFonts w:ascii="Arial" w:hAnsi="Arial" w:cs="Arial"/>
                <w:sz w:val="20"/>
                <w:szCs w:val="20"/>
              </w:rPr>
              <w:t xml:space="preserve"> </w:t>
            </w:r>
            <w:r w:rsidRPr="00311D12">
              <w:rPr>
                <w:rFonts w:ascii="Arial" w:hAnsi="Arial" w:cs="Arial"/>
                <w:sz w:val="20"/>
                <w:szCs w:val="20"/>
              </w:rPr>
              <w:t>and sustainable lifestyles, human rights, gender equality, promotion of a culture of peace and nonviolence,</w:t>
            </w:r>
            <w:r>
              <w:rPr>
                <w:rFonts w:ascii="Arial" w:hAnsi="Arial" w:cs="Arial"/>
                <w:sz w:val="20"/>
                <w:szCs w:val="20"/>
              </w:rPr>
              <w:t xml:space="preserve"> </w:t>
            </w:r>
            <w:r w:rsidRPr="00311D12">
              <w:rPr>
                <w:rFonts w:ascii="Arial" w:hAnsi="Arial" w:cs="Arial"/>
                <w:sz w:val="20"/>
                <w:szCs w:val="20"/>
              </w:rPr>
              <w:t>global citizenship and appreciation of cultural diversity and of culture’s contribution to</w:t>
            </w:r>
            <w:r>
              <w:rPr>
                <w:rFonts w:ascii="Arial" w:hAnsi="Arial" w:cs="Arial"/>
                <w:sz w:val="20"/>
                <w:szCs w:val="20"/>
              </w:rPr>
              <w:t xml:space="preserve"> </w:t>
            </w:r>
            <w:r w:rsidRPr="00311D12">
              <w:rPr>
                <w:rFonts w:ascii="Arial" w:hAnsi="Arial" w:cs="Arial"/>
                <w:sz w:val="20"/>
                <w:szCs w:val="20"/>
              </w:rPr>
              <w:t>sustainable development</w:t>
            </w:r>
          </w:p>
          <w:p w:rsidR="00820340" w:rsidRDefault="00820340" w:rsidP="005A1486">
            <w:pPr>
              <w:jc w:val="both"/>
              <w:rPr>
                <w:rFonts w:ascii="Arial" w:hAnsi="Arial" w:cs="Arial"/>
                <w:sz w:val="20"/>
                <w:szCs w:val="20"/>
              </w:rPr>
            </w:pPr>
          </w:p>
          <w:p w:rsidR="004136A3" w:rsidRPr="009C1C09" w:rsidRDefault="004136A3" w:rsidP="00311D12">
            <w:pPr>
              <w:jc w:val="both"/>
              <w:rPr>
                <w:rFonts w:ascii="Arial" w:hAnsi="Arial" w:cs="Arial"/>
                <w:b/>
                <w:color w:val="000000"/>
                <w:sz w:val="20"/>
                <w:szCs w:val="20"/>
              </w:rPr>
            </w:pPr>
          </w:p>
        </w:tc>
        <w:tc>
          <w:tcPr>
            <w:tcW w:w="7371" w:type="dxa"/>
            <w:tcBorders>
              <w:bottom w:val="single" w:sz="4" w:space="0" w:color="auto"/>
            </w:tcBorders>
          </w:tcPr>
          <w:p w:rsidR="00820340" w:rsidRDefault="00820340" w:rsidP="00820340">
            <w:pPr>
              <w:pStyle w:val="ListParagraph"/>
              <w:spacing w:before="100" w:beforeAutospacing="1" w:after="100" w:afterAutospacing="1"/>
              <w:ind w:left="360"/>
              <w:rPr>
                <w:rFonts w:ascii="Arial" w:hAnsi="Arial" w:cs="Arial"/>
                <w:sz w:val="20"/>
                <w:szCs w:val="20"/>
              </w:rPr>
            </w:pPr>
          </w:p>
          <w:p w:rsidR="009B29FC" w:rsidRPr="0089703F" w:rsidRDefault="009B29FC" w:rsidP="00820340">
            <w:pPr>
              <w:pStyle w:val="ListParagraph"/>
              <w:spacing w:before="100" w:beforeAutospacing="1" w:after="100" w:afterAutospacing="1"/>
              <w:ind w:left="360"/>
              <w:rPr>
                <w:rFonts w:ascii="Arial" w:hAnsi="Arial" w:cs="Arial"/>
                <w:b/>
                <w:color w:val="0070C0"/>
                <w:sz w:val="20"/>
                <w:szCs w:val="20"/>
              </w:rPr>
            </w:pPr>
            <w:r w:rsidRPr="0089703F">
              <w:rPr>
                <w:rFonts w:ascii="Arial" w:hAnsi="Arial" w:cs="Arial"/>
                <w:b/>
                <w:color w:val="0070C0"/>
                <w:sz w:val="20"/>
                <w:szCs w:val="20"/>
              </w:rPr>
              <w:t>4</w:t>
            </w:r>
            <w:r w:rsidR="00820340" w:rsidRPr="0089703F">
              <w:rPr>
                <w:rFonts w:ascii="Arial" w:hAnsi="Arial" w:cs="Arial"/>
                <w:b/>
                <w:color w:val="0070C0"/>
                <w:sz w:val="20"/>
                <w:szCs w:val="20"/>
              </w:rPr>
              <w:t>.</w:t>
            </w:r>
            <w:r w:rsidRPr="0089703F">
              <w:rPr>
                <w:rFonts w:ascii="Arial" w:hAnsi="Arial" w:cs="Arial"/>
                <w:b/>
                <w:color w:val="0070C0"/>
                <w:sz w:val="20"/>
                <w:szCs w:val="20"/>
              </w:rPr>
              <w:t>7</w:t>
            </w:r>
            <w:r w:rsidR="00820340" w:rsidRPr="0089703F">
              <w:rPr>
                <w:rFonts w:ascii="Arial" w:hAnsi="Arial" w:cs="Arial"/>
                <w:b/>
                <w:color w:val="0070C0"/>
                <w:sz w:val="20"/>
                <w:szCs w:val="20"/>
              </w:rPr>
              <w:t xml:space="preserve">.1 </w:t>
            </w:r>
            <w:r w:rsidRPr="0089703F">
              <w:rPr>
                <w:rFonts w:ascii="Arial" w:hAnsi="Arial" w:cs="Arial"/>
                <w:b/>
                <w:color w:val="0070C0"/>
                <w:sz w:val="20"/>
                <w:szCs w:val="20"/>
              </w:rPr>
              <w:t xml:space="preserve">Mean population blood lead levels [and other heavy metals/chemicals]  in children </w:t>
            </w:r>
          </w:p>
          <w:p w:rsidR="009B29FC" w:rsidRDefault="009B29FC" w:rsidP="00820340">
            <w:pPr>
              <w:pStyle w:val="ListParagraph"/>
              <w:spacing w:before="100" w:beforeAutospacing="1" w:after="100" w:afterAutospacing="1"/>
              <w:ind w:left="360"/>
              <w:rPr>
                <w:rFonts w:ascii="Arial" w:hAnsi="Arial" w:cs="Arial"/>
                <w:sz w:val="20"/>
                <w:szCs w:val="20"/>
              </w:rPr>
            </w:pPr>
          </w:p>
          <w:p w:rsidR="00D27B26" w:rsidRDefault="00D27B26" w:rsidP="00F4357D">
            <w:pPr>
              <w:pStyle w:val="ListParagraph"/>
              <w:spacing w:before="100" w:beforeAutospacing="1" w:after="100" w:afterAutospacing="1"/>
              <w:ind w:left="360"/>
              <w:rPr>
                <w:rFonts w:ascii="Arial" w:hAnsi="Arial" w:cs="Arial"/>
                <w:sz w:val="20"/>
                <w:szCs w:val="20"/>
              </w:rPr>
            </w:pPr>
          </w:p>
          <w:p w:rsidR="004136A3" w:rsidRPr="009C1C09" w:rsidRDefault="004136A3" w:rsidP="00574A50">
            <w:pPr>
              <w:pStyle w:val="ListParagraph"/>
              <w:spacing w:before="100" w:beforeAutospacing="1" w:after="100" w:afterAutospacing="1"/>
              <w:ind w:left="360"/>
              <w:rPr>
                <w:rFonts w:ascii="Arial" w:hAnsi="Arial" w:cs="Arial"/>
                <w:color w:val="000000"/>
                <w:sz w:val="20"/>
                <w:szCs w:val="20"/>
              </w:rPr>
            </w:pPr>
          </w:p>
        </w:tc>
        <w:tc>
          <w:tcPr>
            <w:tcW w:w="1984" w:type="dxa"/>
            <w:tcBorders>
              <w:bottom w:val="single" w:sz="4" w:space="0" w:color="auto"/>
            </w:tcBorders>
          </w:tcPr>
          <w:p w:rsidR="00D27B26" w:rsidRDefault="00D27B26" w:rsidP="00647A20">
            <w:pPr>
              <w:pStyle w:val="ListParagraph"/>
              <w:spacing w:before="100" w:beforeAutospacing="1" w:after="200" w:afterAutospacing="1"/>
              <w:ind w:left="360"/>
              <w:rPr>
                <w:rFonts w:ascii="Arial" w:hAnsi="Arial" w:cs="Arial"/>
                <w:sz w:val="20"/>
                <w:szCs w:val="20"/>
              </w:rPr>
            </w:pPr>
          </w:p>
          <w:p w:rsidR="00D27B26" w:rsidRDefault="009B29FC" w:rsidP="009B29FC">
            <w:pPr>
              <w:pStyle w:val="ListParagraph"/>
              <w:spacing w:before="100" w:beforeAutospacing="1" w:after="200" w:afterAutospacing="1"/>
              <w:ind w:left="33"/>
              <w:rPr>
                <w:rFonts w:ascii="Arial" w:hAnsi="Arial" w:cs="Arial"/>
                <w:sz w:val="20"/>
                <w:szCs w:val="20"/>
              </w:rPr>
            </w:pPr>
            <w:r>
              <w:rPr>
                <w:rFonts w:ascii="Arial" w:hAnsi="Arial" w:cs="Arial"/>
                <w:sz w:val="20"/>
                <w:szCs w:val="20"/>
              </w:rPr>
              <w:t>Same indicator as 3.1.1 for health</w:t>
            </w:r>
          </w:p>
          <w:p w:rsidR="00D27B26" w:rsidRDefault="00D27B26" w:rsidP="00647A20">
            <w:pPr>
              <w:pStyle w:val="ListParagraph"/>
              <w:spacing w:before="100" w:beforeAutospacing="1" w:after="200" w:afterAutospacing="1"/>
              <w:ind w:left="360"/>
              <w:rPr>
                <w:rFonts w:ascii="Arial" w:hAnsi="Arial" w:cs="Arial"/>
                <w:sz w:val="20"/>
                <w:szCs w:val="20"/>
              </w:rPr>
            </w:pPr>
          </w:p>
          <w:p w:rsidR="00D27B26" w:rsidRDefault="00D27B26" w:rsidP="00647A20">
            <w:pPr>
              <w:pStyle w:val="ListParagraph"/>
              <w:spacing w:before="100" w:beforeAutospacing="1" w:after="200" w:afterAutospacing="1"/>
              <w:ind w:left="360"/>
              <w:rPr>
                <w:rFonts w:ascii="Arial" w:hAnsi="Arial" w:cs="Arial"/>
                <w:sz w:val="20"/>
                <w:szCs w:val="20"/>
              </w:rPr>
            </w:pPr>
          </w:p>
          <w:p w:rsidR="00D27B26" w:rsidRDefault="00D27B26" w:rsidP="00647A20">
            <w:pPr>
              <w:pStyle w:val="ListParagraph"/>
              <w:spacing w:before="100" w:beforeAutospacing="1" w:after="200" w:afterAutospacing="1"/>
              <w:ind w:left="360"/>
              <w:rPr>
                <w:rFonts w:ascii="Arial" w:hAnsi="Arial" w:cs="Arial"/>
                <w:sz w:val="20"/>
                <w:szCs w:val="20"/>
              </w:rPr>
            </w:pPr>
          </w:p>
          <w:p w:rsidR="004136A3" w:rsidRPr="009C1C09" w:rsidRDefault="004136A3" w:rsidP="00D27B26">
            <w:pPr>
              <w:pStyle w:val="ListParagraph"/>
              <w:spacing w:before="100" w:beforeAutospacing="1" w:after="200" w:afterAutospacing="1"/>
              <w:ind w:left="0"/>
              <w:rPr>
                <w:rFonts w:ascii="Arial" w:hAnsi="Arial" w:cs="Arial"/>
                <w:sz w:val="20"/>
                <w:szCs w:val="20"/>
              </w:rPr>
            </w:pPr>
          </w:p>
        </w:tc>
      </w:tr>
      <w:tr w:rsidR="00311D12" w:rsidRPr="009C1C09" w:rsidTr="00311D12">
        <w:trPr>
          <w:trHeight w:val="1052"/>
        </w:trPr>
        <w:tc>
          <w:tcPr>
            <w:tcW w:w="14425" w:type="dxa"/>
            <w:gridSpan w:val="3"/>
            <w:tcBorders>
              <w:bottom w:val="single" w:sz="4" w:space="0" w:color="auto"/>
            </w:tcBorders>
            <w:shd w:val="clear" w:color="auto" w:fill="FFC000"/>
          </w:tcPr>
          <w:p w:rsidR="00311D12" w:rsidRDefault="00311D12" w:rsidP="00311D12">
            <w:pPr>
              <w:pStyle w:val="ListParagraph"/>
              <w:spacing w:before="100" w:beforeAutospacing="1" w:after="200" w:afterAutospacing="1"/>
              <w:ind w:left="360"/>
              <w:jc w:val="center"/>
              <w:rPr>
                <w:rFonts w:ascii="Arial" w:hAnsi="Arial" w:cs="Arial"/>
                <w:b/>
                <w:bCs/>
                <w:szCs w:val="20"/>
              </w:rPr>
            </w:pPr>
          </w:p>
          <w:p w:rsidR="00311D12" w:rsidRDefault="00311D12" w:rsidP="00311D12">
            <w:pPr>
              <w:pStyle w:val="ListParagraph"/>
              <w:spacing w:before="100" w:beforeAutospacing="1" w:after="200" w:afterAutospacing="1"/>
              <w:ind w:left="360"/>
              <w:jc w:val="center"/>
              <w:rPr>
                <w:rFonts w:ascii="Arial" w:hAnsi="Arial" w:cs="Arial"/>
                <w:sz w:val="20"/>
                <w:szCs w:val="20"/>
              </w:rPr>
            </w:pPr>
            <w:r w:rsidRPr="00C56231">
              <w:rPr>
                <w:rFonts w:ascii="Arial" w:hAnsi="Arial" w:cs="Arial"/>
                <w:b/>
                <w:bCs/>
                <w:szCs w:val="20"/>
              </w:rPr>
              <w:t>Proposed goal 6. Ensure availability and sustainable management of water and sanitation for all</w:t>
            </w:r>
          </w:p>
        </w:tc>
      </w:tr>
      <w:tr w:rsidR="00311D12" w:rsidRPr="009C1C09" w:rsidTr="00C56231">
        <w:trPr>
          <w:trHeight w:val="2853"/>
        </w:trPr>
        <w:tc>
          <w:tcPr>
            <w:tcW w:w="5070" w:type="dxa"/>
            <w:tcBorders>
              <w:bottom w:val="single" w:sz="4" w:space="0" w:color="auto"/>
            </w:tcBorders>
          </w:tcPr>
          <w:p w:rsidR="00311D12" w:rsidRPr="00855AF8" w:rsidRDefault="00311D12" w:rsidP="00AE6F2C">
            <w:pPr>
              <w:jc w:val="both"/>
              <w:rPr>
                <w:rFonts w:ascii="Arial" w:hAnsi="Arial" w:cs="Arial"/>
                <w:b/>
                <w:bCs/>
                <w:sz w:val="20"/>
                <w:szCs w:val="20"/>
              </w:rPr>
            </w:pPr>
          </w:p>
          <w:p w:rsidR="00311D12" w:rsidRDefault="00311D12" w:rsidP="00AE6F2C">
            <w:pPr>
              <w:jc w:val="both"/>
              <w:rPr>
                <w:rFonts w:ascii="Arial" w:hAnsi="Arial" w:cs="Arial"/>
                <w:sz w:val="20"/>
                <w:szCs w:val="20"/>
              </w:rPr>
            </w:pPr>
            <w:r w:rsidRPr="00720D8F">
              <w:rPr>
                <w:rFonts w:ascii="Arial" w:hAnsi="Arial" w:cs="Arial"/>
                <w:sz w:val="20"/>
                <w:szCs w:val="20"/>
              </w:rPr>
              <w:t>6.1</w:t>
            </w:r>
            <w:r w:rsidRPr="00720D8F">
              <w:rPr>
                <w:rFonts w:ascii="Arial" w:hAnsi="Arial" w:cs="Arial"/>
                <w:sz w:val="20"/>
                <w:szCs w:val="20"/>
              </w:rPr>
              <w:tab/>
              <w:t>by 2030, achieve universal and equitable access to safe and affordable drinking water for all</w:t>
            </w:r>
          </w:p>
          <w:p w:rsidR="00311D12" w:rsidRDefault="00311D12" w:rsidP="00AE6F2C">
            <w:pPr>
              <w:jc w:val="both"/>
              <w:rPr>
                <w:rFonts w:ascii="Arial" w:hAnsi="Arial" w:cs="Arial"/>
                <w:sz w:val="20"/>
                <w:szCs w:val="20"/>
              </w:rPr>
            </w:pPr>
          </w:p>
          <w:p w:rsidR="00311D12" w:rsidRPr="00855AF8" w:rsidRDefault="00311D12" w:rsidP="00AE6F2C">
            <w:pPr>
              <w:jc w:val="both"/>
              <w:rPr>
                <w:rFonts w:ascii="Arial" w:hAnsi="Arial" w:cs="Arial"/>
                <w:sz w:val="20"/>
                <w:szCs w:val="20"/>
              </w:rPr>
            </w:pPr>
            <w:r w:rsidRPr="00855AF8">
              <w:rPr>
                <w:rFonts w:ascii="Arial" w:hAnsi="Arial" w:cs="Arial"/>
                <w:sz w:val="20"/>
                <w:szCs w:val="20"/>
              </w:rPr>
              <w:t xml:space="preserve">6.3        by 2030, improve water quality by reducing pollution, eliminating dumping and minimizing release of hazardous chemicals and materials, halving the proportion of untreated wastewater, and increasing recycling and safe reuse by x% globally </w:t>
            </w:r>
          </w:p>
          <w:p w:rsidR="00311D12" w:rsidRPr="009C1C09" w:rsidRDefault="00311D12" w:rsidP="00AE6F2C">
            <w:pPr>
              <w:rPr>
                <w:rFonts w:ascii="Arial" w:hAnsi="Arial" w:cs="Arial"/>
                <w:b/>
                <w:color w:val="000000"/>
                <w:sz w:val="20"/>
                <w:szCs w:val="20"/>
              </w:rPr>
            </w:pPr>
          </w:p>
        </w:tc>
        <w:tc>
          <w:tcPr>
            <w:tcW w:w="7371" w:type="dxa"/>
            <w:tcBorders>
              <w:bottom w:val="single" w:sz="4" w:space="0" w:color="auto"/>
            </w:tcBorders>
          </w:tcPr>
          <w:p w:rsidR="00311D12" w:rsidRDefault="00311D12" w:rsidP="00AE6F2C">
            <w:pPr>
              <w:pStyle w:val="ListParagraph"/>
              <w:spacing w:before="100" w:beforeAutospacing="1" w:after="100" w:afterAutospacing="1"/>
              <w:ind w:left="360"/>
              <w:rPr>
                <w:rFonts w:ascii="Arial" w:hAnsi="Arial" w:cs="Arial"/>
                <w:sz w:val="20"/>
                <w:szCs w:val="20"/>
              </w:rPr>
            </w:pPr>
          </w:p>
          <w:p w:rsidR="00311D12" w:rsidRPr="0089703F" w:rsidRDefault="00311D12" w:rsidP="00AE6F2C">
            <w:pPr>
              <w:pStyle w:val="ListParagraph"/>
              <w:spacing w:before="100" w:beforeAutospacing="1" w:after="100" w:afterAutospacing="1"/>
              <w:ind w:left="360"/>
              <w:rPr>
                <w:rFonts w:ascii="Arial" w:hAnsi="Arial" w:cs="Arial"/>
                <w:b/>
                <w:color w:val="0070C0"/>
                <w:sz w:val="20"/>
                <w:szCs w:val="20"/>
              </w:rPr>
            </w:pPr>
            <w:r w:rsidRPr="0089703F">
              <w:rPr>
                <w:rFonts w:ascii="Arial" w:hAnsi="Arial" w:cs="Arial"/>
                <w:b/>
                <w:color w:val="0070C0"/>
                <w:sz w:val="20"/>
                <w:szCs w:val="20"/>
              </w:rPr>
              <w:t>6.1.1 Proportion of the population for whom all domestic waste water is treated to national standards in either collective or individual facilities.</w:t>
            </w:r>
          </w:p>
          <w:p w:rsidR="00311D12" w:rsidRPr="0089703F" w:rsidRDefault="00311D12" w:rsidP="00AE6F2C">
            <w:pPr>
              <w:pStyle w:val="ListParagraph"/>
              <w:spacing w:before="100" w:beforeAutospacing="1" w:after="100" w:afterAutospacing="1"/>
              <w:ind w:left="360"/>
              <w:rPr>
                <w:rFonts w:ascii="Arial" w:hAnsi="Arial" w:cs="Arial"/>
                <w:b/>
                <w:color w:val="0070C0"/>
                <w:sz w:val="20"/>
                <w:szCs w:val="20"/>
              </w:rPr>
            </w:pPr>
          </w:p>
          <w:p w:rsidR="00311D12" w:rsidRPr="0089703F" w:rsidRDefault="00311D12" w:rsidP="00AE6F2C">
            <w:pPr>
              <w:pStyle w:val="ListParagraph"/>
              <w:spacing w:before="100" w:beforeAutospacing="1" w:after="100" w:afterAutospacing="1"/>
              <w:ind w:left="360"/>
              <w:rPr>
                <w:rFonts w:ascii="Arial" w:hAnsi="Arial" w:cs="Arial"/>
                <w:b/>
                <w:color w:val="0070C0"/>
                <w:sz w:val="20"/>
                <w:szCs w:val="20"/>
              </w:rPr>
            </w:pPr>
            <w:r w:rsidRPr="0089703F">
              <w:rPr>
                <w:rFonts w:ascii="Arial" w:hAnsi="Arial" w:cs="Arial"/>
                <w:b/>
                <w:color w:val="0070C0"/>
                <w:sz w:val="20"/>
                <w:szCs w:val="20"/>
              </w:rPr>
              <w:t>6.3.1 Proportion of industrial and point source agricultural wastewater flows not collected in public systems that is treated to national standards.</w:t>
            </w:r>
          </w:p>
          <w:p w:rsidR="00311D12" w:rsidRPr="0089703F" w:rsidRDefault="00311D12" w:rsidP="00AE6F2C">
            <w:pPr>
              <w:pStyle w:val="ListParagraph"/>
              <w:spacing w:before="100" w:beforeAutospacing="1" w:after="200" w:afterAutospacing="1"/>
              <w:ind w:left="360"/>
              <w:rPr>
                <w:rFonts w:ascii="Arial" w:hAnsi="Arial" w:cs="Arial"/>
                <w:b/>
                <w:color w:val="0070C0"/>
                <w:sz w:val="20"/>
                <w:szCs w:val="20"/>
              </w:rPr>
            </w:pPr>
          </w:p>
          <w:p w:rsidR="00311D12" w:rsidRPr="0089703F" w:rsidRDefault="00311D12" w:rsidP="00AE6F2C">
            <w:pPr>
              <w:pStyle w:val="ListParagraph"/>
              <w:spacing w:before="100" w:beforeAutospacing="1" w:after="200" w:afterAutospacing="1"/>
              <w:ind w:left="360"/>
              <w:rPr>
                <w:rFonts w:ascii="Arial" w:hAnsi="Arial" w:cs="Arial"/>
                <w:b/>
                <w:color w:val="0070C0"/>
                <w:sz w:val="20"/>
                <w:szCs w:val="20"/>
              </w:rPr>
            </w:pPr>
            <w:r w:rsidRPr="0089703F">
              <w:rPr>
                <w:rFonts w:ascii="Arial" w:hAnsi="Arial" w:cs="Arial"/>
                <w:b/>
                <w:color w:val="0070C0"/>
                <w:sz w:val="20"/>
                <w:szCs w:val="20"/>
              </w:rPr>
              <w:t xml:space="preserve">6.3.2 Proportion of the flows of treated municipal wastewater that are directly and safely reused </w:t>
            </w:r>
          </w:p>
          <w:p w:rsidR="00311D12" w:rsidRPr="0089703F" w:rsidRDefault="00311D12" w:rsidP="00AE6F2C">
            <w:pPr>
              <w:pStyle w:val="ListParagraph"/>
              <w:spacing w:before="100" w:beforeAutospacing="1" w:after="200" w:afterAutospacing="1"/>
              <w:ind w:left="360"/>
              <w:rPr>
                <w:rFonts w:ascii="Arial" w:hAnsi="Arial" w:cs="Arial"/>
                <w:b/>
                <w:color w:val="0070C0"/>
                <w:sz w:val="20"/>
                <w:szCs w:val="20"/>
              </w:rPr>
            </w:pPr>
          </w:p>
          <w:p w:rsidR="00311D12" w:rsidRPr="0089703F" w:rsidRDefault="00311D12" w:rsidP="00AE6F2C">
            <w:pPr>
              <w:pStyle w:val="ListParagraph"/>
              <w:spacing w:before="100" w:beforeAutospacing="1" w:after="200" w:afterAutospacing="1"/>
              <w:ind w:left="360"/>
              <w:rPr>
                <w:rFonts w:ascii="Arial" w:hAnsi="Arial" w:cs="Arial"/>
                <w:b/>
                <w:color w:val="0070C0"/>
                <w:sz w:val="20"/>
                <w:szCs w:val="20"/>
              </w:rPr>
            </w:pPr>
            <w:r w:rsidRPr="0089703F">
              <w:rPr>
                <w:rFonts w:ascii="Arial" w:hAnsi="Arial" w:cs="Arial"/>
                <w:b/>
                <w:color w:val="0070C0"/>
                <w:sz w:val="20"/>
                <w:szCs w:val="20"/>
              </w:rPr>
              <w:t xml:space="preserve">6.3.3 Proportion of the flows discharged by industrial waste water treatment plants that are safely re-used. </w:t>
            </w:r>
          </w:p>
          <w:p w:rsidR="00311D12" w:rsidRPr="0089703F" w:rsidRDefault="00311D12" w:rsidP="00AE6F2C">
            <w:pPr>
              <w:pStyle w:val="ListParagraph"/>
              <w:spacing w:before="100" w:beforeAutospacing="1" w:after="100" w:afterAutospacing="1"/>
              <w:ind w:left="360"/>
              <w:rPr>
                <w:rFonts w:ascii="Arial" w:hAnsi="Arial" w:cs="Arial"/>
                <w:b/>
                <w:color w:val="0070C0"/>
                <w:sz w:val="20"/>
                <w:szCs w:val="20"/>
              </w:rPr>
            </w:pPr>
          </w:p>
          <w:p w:rsidR="00311D12" w:rsidRPr="009C1C09" w:rsidRDefault="00311D12" w:rsidP="00AE6F2C">
            <w:pPr>
              <w:pStyle w:val="ListParagraph"/>
              <w:spacing w:before="100" w:beforeAutospacing="1" w:after="100" w:afterAutospacing="1"/>
              <w:ind w:left="360"/>
              <w:rPr>
                <w:rFonts w:ascii="Arial" w:hAnsi="Arial" w:cs="Arial"/>
                <w:color w:val="000000"/>
                <w:sz w:val="20"/>
                <w:szCs w:val="20"/>
              </w:rPr>
            </w:pPr>
            <w:r w:rsidRPr="0089703F">
              <w:rPr>
                <w:rFonts w:ascii="Arial" w:hAnsi="Arial" w:cs="Arial"/>
                <w:b/>
                <w:color w:val="0070C0"/>
                <w:sz w:val="20"/>
                <w:szCs w:val="20"/>
              </w:rPr>
              <w:lastRenderedPageBreak/>
              <w:t>6.3.4 Proportion of receiving water bodies meeting water quality standards (nitrogen &amp; phosphorous as a minimum)</w:t>
            </w:r>
          </w:p>
        </w:tc>
        <w:tc>
          <w:tcPr>
            <w:tcW w:w="1984" w:type="dxa"/>
            <w:tcBorders>
              <w:bottom w:val="single" w:sz="4" w:space="0" w:color="auto"/>
            </w:tcBorders>
          </w:tcPr>
          <w:p w:rsidR="00311D12" w:rsidRDefault="00311D12" w:rsidP="00AE6F2C">
            <w:pPr>
              <w:pStyle w:val="ListParagraph"/>
              <w:spacing w:before="100" w:beforeAutospacing="1" w:after="200" w:afterAutospacing="1"/>
              <w:ind w:left="360"/>
              <w:rPr>
                <w:rFonts w:ascii="Arial" w:hAnsi="Arial" w:cs="Arial"/>
                <w:sz w:val="20"/>
                <w:szCs w:val="20"/>
              </w:rPr>
            </w:pPr>
          </w:p>
          <w:p w:rsidR="00311D12" w:rsidRPr="00903809" w:rsidRDefault="00903809" w:rsidP="00903809">
            <w:pPr>
              <w:pStyle w:val="ListParagraph"/>
              <w:spacing w:before="100" w:beforeAutospacing="1" w:after="200" w:afterAutospacing="1"/>
              <w:ind w:left="33"/>
              <w:rPr>
                <w:rFonts w:ascii="Arial" w:hAnsi="Arial" w:cs="Arial"/>
                <w:sz w:val="16"/>
                <w:szCs w:val="20"/>
              </w:rPr>
            </w:pPr>
            <w:r w:rsidRPr="00903809">
              <w:rPr>
                <w:rFonts w:ascii="Arial" w:hAnsi="Arial" w:cs="Arial"/>
                <w:color w:val="000000"/>
                <w:sz w:val="20"/>
                <w:szCs w:val="20"/>
              </w:rPr>
              <w:t>Same as the indicators on oceans</w:t>
            </w:r>
          </w:p>
          <w:p w:rsidR="00311D12" w:rsidRDefault="00311D12" w:rsidP="00AE6F2C">
            <w:pPr>
              <w:pStyle w:val="ListParagraph"/>
              <w:spacing w:before="100" w:beforeAutospacing="1" w:after="200" w:afterAutospacing="1"/>
              <w:ind w:left="360"/>
              <w:rPr>
                <w:rFonts w:ascii="Arial" w:hAnsi="Arial" w:cs="Arial"/>
                <w:sz w:val="20"/>
                <w:szCs w:val="20"/>
              </w:rPr>
            </w:pPr>
          </w:p>
          <w:p w:rsidR="0089703F" w:rsidRDefault="0089703F" w:rsidP="00AE6F2C">
            <w:pPr>
              <w:pStyle w:val="ListParagraph"/>
              <w:spacing w:before="100" w:beforeAutospacing="1" w:after="200" w:afterAutospacing="1"/>
              <w:ind w:left="0"/>
              <w:rPr>
                <w:rFonts w:ascii="Arial" w:hAnsi="Arial" w:cs="Arial"/>
                <w:sz w:val="20"/>
                <w:szCs w:val="20"/>
              </w:rPr>
            </w:pPr>
          </w:p>
          <w:p w:rsidR="0089703F" w:rsidRDefault="0089703F" w:rsidP="00AE6F2C">
            <w:pPr>
              <w:pStyle w:val="ListParagraph"/>
              <w:spacing w:before="100" w:beforeAutospacing="1" w:after="200" w:afterAutospacing="1"/>
              <w:ind w:left="0"/>
              <w:rPr>
                <w:rFonts w:ascii="Arial" w:hAnsi="Arial" w:cs="Arial"/>
                <w:sz w:val="20"/>
                <w:szCs w:val="20"/>
              </w:rPr>
            </w:pPr>
          </w:p>
          <w:p w:rsidR="0089703F" w:rsidRDefault="0089703F" w:rsidP="00AE6F2C">
            <w:pPr>
              <w:pStyle w:val="ListParagraph"/>
              <w:spacing w:before="100" w:beforeAutospacing="1" w:after="200" w:afterAutospacing="1"/>
              <w:ind w:left="0"/>
              <w:rPr>
                <w:rFonts w:ascii="Arial" w:hAnsi="Arial" w:cs="Arial"/>
                <w:sz w:val="20"/>
                <w:szCs w:val="20"/>
              </w:rPr>
            </w:pPr>
          </w:p>
          <w:p w:rsidR="0089703F" w:rsidRDefault="0089703F" w:rsidP="00AE6F2C">
            <w:pPr>
              <w:pStyle w:val="ListParagraph"/>
              <w:spacing w:before="100" w:beforeAutospacing="1" w:after="200" w:afterAutospacing="1"/>
              <w:ind w:left="0"/>
              <w:rPr>
                <w:rFonts w:ascii="Arial" w:hAnsi="Arial" w:cs="Arial"/>
                <w:sz w:val="20"/>
                <w:szCs w:val="20"/>
              </w:rPr>
            </w:pPr>
          </w:p>
          <w:p w:rsidR="00534E62" w:rsidRDefault="00534E62" w:rsidP="00AE6F2C">
            <w:pPr>
              <w:pStyle w:val="ListParagraph"/>
              <w:spacing w:before="100" w:beforeAutospacing="1" w:after="200" w:afterAutospacing="1"/>
              <w:ind w:left="0"/>
              <w:rPr>
                <w:rFonts w:ascii="Arial" w:hAnsi="Arial" w:cs="Arial"/>
                <w:sz w:val="20"/>
                <w:szCs w:val="20"/>
              </w:rPr>
            </w:pPr>
          </w:p>
          <w:p w:rsidR="00311D12" w:rsidRPr="009C1C09" w:rsidRDefault="0089703F" w:rsidP="00AE6F2C">
            <w:pPr>
              <w:pStyle w:val="ListParagraph"/>
              <w:spacing w:before="100" w:beforeAutospacing="1" w:after="200" w:afterAutospacing="1"/>
              <w:ind w:left="0"/>
              <w:rPr>
                <w:rFonts w:ascii="Arial" w:hAnsi="Arial" w:cs="Arial"/>
                <w:sz w:val="20"/>
                <w:szCs w:val="20"/>
              </w:rPr>
            </w:pPr>
            <w:r>
              <w:rPr>
                <w:rFonts w:ascii="Arial" w:hAnsi="Arial" w:cs="Arial"/>
                <w:sz w:val="20"/>
                <w:szCs w:val="20"/>
              </w:rPr>
              <w:t>The</w:t>
            </w:r>
            <w:r w:rsidR="00311D12" w:rsidRPr="009C1C09">
              <w:rPr>
                <w:rFonts w:ascii="Arial" w:hAnsi="Arial" w:cs="Arial"/>
                <w:sz w:val="20"/>
                <w:szCs w:val="20"/>
              </w:rPr>
              <w:t xml:space="preserve"> indicator </w:t>
            </w:r>
            <w:r>
              <w:rPr>
                <w:rFonts w:ascii="Arial" w:hAnsi="Arial" w:cs="Arial"/>
                <w:sz w:val="20"/>
                <w:szCs w:val="20"/>
              </w:rPr>
              <w:t xml:space="preserve">6.3.2 </w:t>
            </w:r>
            <w:r w:rsidR="00311D12" w:rsidRPr="009C1C09">
              <w:rPr>
                <w:rFonts w:ascii="Arial" w:hAnsi="Arial" w:cs="Arial"/>
                <w:sz w:val="20"/>
                <w:szCs w:val="20"/>
              </w:rPr>
              <w:t xml:space="preserve">does not include water directly re-used without </w:t>
            </w:r>
            <w:r w:rsidR="00311D12" w:rsidRPr="009C1C09">
              <w:rPr>
                <w:rFonts w:ascii="Arial" w:hAnsi="Arial" w:cs="Arial"/>
                <w:sz w:val="20"/>
                <w:szCs w:val="20"/>
              </w:rPr>
              <w:lastRenderedPageBreak/>
              <w:t>leaving the factory</w:t>
            </w:r>
          </w:p>
        </w:tc>
      </w:tr>
      <w:tr w:rsidR="00311D12" w:rsidRPr="009C1C09" w:rsidTr="00C56231">
        <w:trPr>
          <w:trHeight w:val="1019"/>
        </w:trPr>
        <w:tc>
          <w:tcPr>
            <w:tcW w:w="14425" w:type="dxa"/>
            <w:gridSpan w:val="3"/>
            <w:tcBorders>
              <w:bottom w:val="single" w:sz="4" w:space="0" w:color="auto"/>
            </w:tcBorders>
            <w:shd w:val="clear" w:color="auto" w:fill="FFC000"/>
          </w:tcPr>
          <w:p w:rsidR="00311D12" w:rsidRDefault="00311D12" w:rsidP="00C56231">
            <w:pPr>
              <w:jc w:val="center"/>
              <w:rPr>
                <w:rFonts w:ascii="Arial" w:hAnsi="Arial" w:cs="Arial"/>
                <w:b/>
                <w:bCs/>
                <w:szCs w:val="20"/>
              </w:rPr>
            </w:pPr>
          </w:p>
          <w:p w:rsidR="00311D12" w:rsidRPr="009C1C09" w:rsidRDefault="00311D12" w:rsidP="00C56231">
            <w:pPr>
              <w:jc w:val="center"/>
              <w:rPr>
                <w:rFonts w:ascii="Arial" w:hAnsi="Arial" w:cs="Arial"/>
                <w:color w:val="000000"/>
                <w:sz w:val="20"/>
                <w:szCs w:val="20"/>
              </w:rPr>
            </w:pPr>
            <w:r w:rsidRPr="00C56231">
              <w:rPr>
                <w:rFonts w:ascii="Arial" w:hAnsi="Arial" w:cs="Arial"/>
                <w:b/>
                <w:bCs/>
                <w:szCs w:val="20"/>
              </w:rPr>
              <w:t>Proposed goal 8. Promote sustained, inclusive and sustainable economic growth, full and productive employment and decent work for all</w:t>
            </w:r>
          </w:p>
        </w:tc>
      </w:tr>
      <w:tr w:rsidR="00311D12" w:rsidRPr="009C1C09" w:rsidTr="00C56231">
        <w:trPr>
          <w:trHeight w:val="1019"/>
        </w:trPr>
        <w:tc>
          <w:tcPr>
            <w:tcW w:w="5070" w:type="dxa"/>
            <w:tcBorders>
              <w:bottom w:val="single" w:sz="4" w:space="0" w:color="auto"/>
            </w:tcBorders>
          </w:tcPr>
          <w:p w:rsidR="00311D12" w:rsidRPr="00720D8F" w:rsidRDefault="00311D12" w:rsidP="00720D8F">
            <w:pPr>
              <w:jc w:val="both"/>
              <w:rPr>
                <w:rFonts w:ascii="Arial" w:hAnsi="Arial" w:cs="Arial"/>
                <w:b/>
                <w:bCs/>
                <w:sz w:val="20"/>
                <w:szCs w:val="20"/>
              </w:rPr>
            </w:pPr>
          </w:p>
          <w:p w:rsidR="00311D12" w:rsidRDefault="00311D12" w:rsidP="00720D8F">
            <w:pPr>
              <w:jc w:val="both"/>
              <w:rPr>
                <w:rFonts w:ascii="Arial" w:hAnsi="Arial" w:cs="Arial"/>
                <w:bCs/>
                <w:sz w:val="20"/>
                <w:szCs w:val="20"/>
              </w:rPr>
            </w:pPr>
            <w:r w:rsidRPr="00720D8F">
              <w:rPr>
                <w:rFonts w:ascii="Arial" w:hAnsi="Arial" w:cs="Arial"/>
                <w:bCs/>
                <w:sz w:val="20"/>
                <w:szCs w:val="20"/>
              </w:rPr>
              <w:t>8.4</w:t>
            </w:r>
            <w:r w:rsidRPr="00720D8F">
              <w:rPr>
                <w:rFonts w:ascii="Arial" w:hAnsi="Arial" w:cs="Arial"/>
                <w:bCs/>
                <w:sz w:val="20"/>
                <w:szCs w:val="20"/>
              </w:rPr>
              <w:tab/>
              <w:t xml:space="preserve">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 </w:t>
            </w:r>
          </w:p>
          <w:p w:rsidR="00311D12" w:rsidRDefault="00311D12" w:rsidP="00720D8F">
            <w:pPr>
              <w:jc w:val="both"/>
              <w:rPr>
                <w:rFonts w:ascii="Arial" w:hAnsi="Arial" w:cs="Arial"/>
                <w:bCs/>
                <w:sz w:val="20"/>
                <w:szCs w:val="20"/>
              </w:rPr>
            </w:pPr>
          </w:p>
          <w:p w:rsidR="00311D12" w:rsidRPr="00855AF8" w:rsidRDefault="00311D12" w:rsidP="00720D8F">
            <w:pPr>
              <w:jc w:val="both"/>
              <w:rPr>
                <w:rFonts w:ascii="Arial" w:hAnsi="Arial" w:cs="Arial"/>
                <w:b/>
                <w:bCs/>
                <w:sz w:val="20"/>
                <w:szCs w:val="20"/>
              </w:rPr>
            </w:pPr>
            <w:r w:rsidRPr="00720D8F">
              <w:rPr>
                <w:rFonts w:ascii="Arial" w:hAnsi="Arial" w:cs="Arial"/>
                <w:bCs/>
                <w:sz w:val="20"/>
                <w:szCs w:val="20"/>
              </w:rPr>
              <w:t>8.8</w:t>
            </w:r>
            <w:r w:rsidRPr="00720D8F">
              <w:rPr>
                <w:rFonts w:ascii="Arial" w:hAnsi="Arial" w:cs="Arial"/>
                <w:bCs/>
                <w:sz w:val="20"/>
                <w:szCs w:val="20"/>
              </w:rPr>
              <w:tab/>
              <w:t>protect labour rights and promote safe and secure working environments of all workers, including migrant workers, particularly women migrants, and those in precarious employment</w:t>
            </w:r>
          </w:p>
        </w:tc>
        <w:tc>
          <w:tcPr>
            <w:tcW w:w="7371" w:type="dxa"/>
            <w:tcBorders>
              <w:bottom w:val="single" w:sz="4" w:space="0" w:color="auto"/>
            </w:tcBorders>
          </w:tcPr>
          <w:p w:rsidR="00311D12" w:rsidRDefault="00311D12" w:rsidP="00773584">
            <w:pPr>
              <w:pStyle w:val="ListParagraph"/>
              <w:spacing w:before="100" w:beforeAutospacing="1" w:after="100" w:afterAutospacing="1"/>
              <w:ind w:left="360"/>
              <w:rPr>
                <w:rFonts w:ascii="Arial" w:hAnsi="Arial" w:cs="Arial"/>
                <w:color w:val="000000"/>
                <w:sz w:val="20"/>
                <w:szCs w:val="20"/>
              </w:rPr>
            </w:pPr>
          </w:p>
          <w:p w:rsidR="00311D12" w:rsidRDefault="00311D12" w:rsidP="00773584">
            <w:pPr>
              <w:pStyle w:val="ListParagraph"/>
              <w:spacing w:before="100" w:beforeAutospacing="1" w:after="100" w:afterAutospacing="1"/>
              <w:ind w:left="360"/>
              <w:rPr>
                <w:rFonts w:ascii="Arial" w:hAnsi="Arial" w:cs="Arial"/>
                <w:color w:val="000000"/>
                <w:sz w:val="20"/>
                <w:szCs w:val="20"/>
              </w:rPr>
            </w:pPr>
            <w:r>
              <w:rPr>
                <w:rFonts w:ascii="Arial" w:hAnsi="Arial" w:cs="Arial"/>
                <w:color w:val="000000"/>
                <w:sz w:val="20"/>
                <w:szCs w:val="20"/>
              </w:rPr>
              <w:t xml:space="preserve">8.4.1 </w:t>
            </w:r>
            <w:r w:rsidRPr="009C1C09">
              <w:rPr>
                <w:rFonts w:ascii="Arial" w:hAnsi="Arial" w:cs="Arial"/>
                <w:color w:val="000000"/>
                <w:sz w:val="20"/>
                <w:szCs w:val="20"/>
              </w:rPr>
              <w:t>Annual global production and sales of chemicals</w:t>
            </w:r>
          </w:p>
          <w:p w:rsidR="00311D12" w:rsidRPr="009C1C09" w:rsidRDefault="00311D12" w:rsidP="00773584">
            <w:pPr>
              <w:pStyle w:val="ListParagraph"/>
              <w:spacing w:before="100" w:beforeAutospacing="1" w:after="100" w:afterAutospacing="1"/>
              <w:ind w:left="360"/>
              <w:rPr>
                <w:rFonts w:ascii="Arial" w:hAnsi="Arial" w:cs="Arial"/>
                <w:color w:val="000000"/>
                <w:sz w:val="20"/>
                <w:szCs w:val="20"/>
              </w:rPr>
            </w:pPr>
          </w:p>
          <w:p w:rsidR="00311D12" w:rsidRDefault="00311D12" w:rsidP="00773584">
            <w:pPr>
              <w:pStyle w:val="ListParagraph"/>
              <w:spacing w:before="100" w:beforeAutospacing="1" w:after="100" w:afterAutospacing="1"/>
              <w:ind w:left="360"/>
              <w:contextualSpacing w:val="0"/>
              <w:rPr>
                <w:rFonts w:ascii="Arial" w:hAnsi="Arial" w:cs="Arial"/>
                <w:color w:val="000000"/>
                <w:sz w:val="20"/>
                <w:szCs w:val="20"/>
              </w:rPr>
            </w:pPr>
          </w:p>
          <w:p w:rsidR="00311D12" w:rsidRDefault="00311D12" w:rsidP="00773584">
            <w:pPr>
              <w:pStyle w:val="ListParagraph"/>
              <w:ind w:left="360"/>
              <w:contextualSpacing w:val="0"/>
              <w:rPr>
                <w:rFonts w:ascii="Arial" w:hAnsi="Arial" w:cs="Arial"/>
                <w:color w:val="000000"/>
                <w:sz w:val="20"/>
                <w:szCs w:val="20"/>
              </w:rPr>
            </w:pPr>
          </w:p>
          <w:p w:rsidR="00311D12" w:rsidRDefault="00311D12" w:rsidP="00773584">
            <w:pPr>
              <w:pStyle w:val="ListParagraph"/>
              <w:ind w:left="360"/>
              <w:contextualSpacing w:val="0"/>
              <w:rPr>
                <w:rFonts w:ascii="Arial" w:hAnsi="Arial" w:cs="Arial"/>
                <w:color w:val="000000"/>
                <w:sz w:val="20"/>
                <w:szCs w:val="20"/>
              </w:rPr>
            </w:pPr>
          </w:p>
          <w:p w:rsidR="00311D12" w:rsidRDefault="00311D12" w:rsidP="00C56231">
            <w:pPr>
              <w:pStyle w:val="ListParagraph"/>
              <w:ind w:left="360"/>
              <w:contextualSpacing w:val="0"/>
              <w:rPr>
                <w:rFonts w:ascii="Arial" w:hAnsi="Arial" w:cs="Arial"/>
                <w:color w:val="000000"/>
                <w:sz w:val="20"/>
                <w:szCs w:val="20"/>
              </w:rPr>
            </w:pPr>
          </w:p>
          <w:p w:rsidR="00311D12" w:rsidRDefault="00311D12" w:rsidP="00C56231">
            <w:pPr>
              <w:pStyle w:val="ListParagraph"/>
              <w:ind w:left="360"/>
              <w:contextualSpacing w:val="0"/>
              <w:rPr>
                <w:rFonts w:ascii="Arial" w:hAnsi="Arial" w:cs="Arial"/>
                <w:color w:val="000000"/>
                <w:sz w:val="20"/>
                <w:szCs w:val="20"/>
              </w:rPr>
            </w:pPr>
          </w:p>
          <w:p w:rsidR="00311D12" w:rsidRDefault="00311D12" w:rsidP="00C56231">
            <w:pPr>
              <w:pStyle w:val="ListParagraph"/>
              <w:ind w:left="360"/>
              <w:contextualSpacing w:val="0"/>
              <w:rPr>
                <w:rFonts w:ascii="Arial" w:hAnsi="Arial" w:cs="Arial"/>
                <w:color w:val="000000"/>
                <w:sz w:val="20"/>
                <w:szCs w:val="20"/>
              </w:rPr>
            </w:pPr>
            <w:r>
              <w:rPr>
                <w:rFonts w:ascii="Arial" w:hAnsi="Arial" w:cs="Arial"/>
                <w:color w:val="000000"/>
                <w:sz w:val="20"/>
                <w:szCs w:val="20"/>
              </w:rPr>
              <w:t xml:space="preserve">8.8.1 </w:t>
            </w:r>
            <w:r w:rsidRPr="009C1C09">
              <w:rPr>
                <w:rFonts w:ascii="Arial" w:hAnsi="Arial" w:cs="Arial"/>
                <w:color w:val="000000"/>
                <w:sz w:val="20"/>
                <w:szCs w:val="20"/>
              </w:rPr>
              <w:t xml:space="preserve">Number of safe and decent jobs involving chemicals and waste in manufacturing, and design, processes and productions, including resources recovery and recycling </w:t>
            </w:r>
          </w:p>
          <w:p w:rsidR="00D478F8" w:rsidRDefault="00D478F8" w:rsidP="00C56231">
            <w:pPr>
              <w:pStyle w:val="ListParagraph"/>
              <w:ind w:left="360"/>
              <w:contextualSpacing w:val="0"/>
              <w:rPr>
                <w:rFonts w:ascii="Arial" w:hAnsi="Arial" w:cs="Arial"/>
                <w:color w:val="000000"/>
                <w:sz w:val="20"/>
                <w:szCs w:val="20"/>
              </w:rPr>
            </w:pPr>
          </w:p>
          <w:p w:rsidR="00D478F8" w:rsidRDefault="00D478F8" w:rsidP="00C56231">
            <w:pPr>
              <w:pStyle w:val="ListParagraph"/>
              <w:ind w:left="360"/>
              <w:contextualSpacing w:val="0"/>
              <w:rPr>
                <w:rFonts w:ascii="Arial" w:hAnsi="Arial" w:cs="Arial"/>
                <w:color w:val="000000"/>
                <w:sz w:val="20"/>
                <w:szCs w:val="20"/>
              </w:rPr>
            </w:pPr>
          </w:p>
          <w:p w:rsidR="00D478F8" w:rsidRPr="009C1C09" w:rsidRDefault="00D478F8" w:rsidP="00C56231">
            <w:pPr>
              <w:pStyle w:val="ListParagraph"/>
              <w:ind w:left="360"/>
              <w:contextualSpacing w:val="0"/>
              <w:rPr>
                <w:rFonts w:ascii="Arial" w:hAnsi="Arial" w:cs="Arial"/>
                <w:color w:val="000000"/>
                <w:sz w:val="20"/>
                <w:szCs w:val="20"/>
              </w:rPr>
            </w:pPr>
          </w:p>
          <w:p w:rsidR="00311D12" w:rsidRPr="009C1C09" w:rsidRDefault="00311D12" w:rsidP="00773584">
            <w:pPr>
              <w:pStyle w:val="ListParagraph"/>
              <w:spacing w:before="100" w:beforeAutospacing="1" w:after="100" w:afterAutospacing="1"/>
              <w:ind w:left="360"/>
              <w:rPr>
                <w:rFonts w:ascii="Arial" w:hAnsi="Arial" w:cs="Arial"/>
                <w:color w:val="000000"/>
                <w:sz w:val="20"/>
                <w:szCs w:val="20"/>
              </w:rPr>
            </w:pPr>
          </w:p>
        </w:tc>
        <w:tc>
          <w:tcPr>
            <w:tcW w:w="1984" w:type="dxa"/>
            <w:tcBorders>
              <w:bottom w:val="single" w:sz="4" w:space="0" w:color="auto"/>
            </w:tcBorders>
          </w:tcPr>
          <w:p w:rsidR="00311D12" w:rsidRPr="009C1C09" w:rsidRDefault="00311D12" w:rsidP="00773584">
            <w:pPr>
              <w:pStyle w:val="ListParagraph"/>
              <w:spacing w:before="100" w:beforeAutospacing="1" w:after="100" w:afterAutospacing="1"/>
              <w:ind w:left="360"/>
              <w:rPr>
                <w:rFonts w:ascii="Arial" w:hAnsi="Arial" w:cs="Arial"/>
                <w:color w:val="000000"/>
                <w:sz w:val="20"/>
                <w:szCs w:val="20"/>
              </w:rPr>
            </w:pPr>
          </w:p>
        </w:tc>
      </w:tr>
      <w:tr w:rsidR="00311D12" w:rsidRPr="009C1C09" w:rsidTr="00C56231">
        <w:trPr>
          <w:trHeight w:val="858"/>
        </w:trPr>
        <w:tc>
          <w:tcPr>
            <w:tcW w:w="14425" w:type="dxa"/>
            <w:gridSpan w:val="3"/>
            <w:tcBorders>
              <w:bottom w:val="single" w:sz="4" w:space="0" w:color="auto"/>
            </w:tcBorders>
            <w:shd w:val="clear" w:color="auto" w:fill="FFC000"/>
            <w:vAlign w:val="center"/>
          </w:tcPr>
          <w:p w:rsidR="00311D12" w:rsidRDefault="00311D12" w:rsidP="00C56231">
            <w:pPr>
              <w:jc w:val="center"/>
              <w:rPr>
                <w:rFonts w:ascii="Arial" w:hAnsi="Arial" w:cs="Arial"/>
                <w:color w:val="000000"/>
                <w:sz w:val="20"/>
                <w:szCs w:val="20"/>
              </w:rPr>
            </w:pPr>
            <w:r w:rsidRPr="00C56231">
              <w:rPr>
                <w:rFonts w:ascii="Arial" w:hAnsi="Arial" w:cs="Arial"/>
                <w:b/>
                <w:bCs/>
                <w:szCs w:val="20"/>
              </w:rPr>
              <w:lastRenderedPageBreak/>
              <w:t>Proposed goal 9. Build resilient infrastructure, promote inclusive and sustainable industrialization and foster innovation</w:t>
            </w:r>
          </w:p>
        </w:tc>
      </w:tr>
      <w:tr w:rsidR="00311D12" w:rsidRPr="009C1C09" w:rsidTr="00574A50">
        <w:trPr>
          <w:trHeight w:val="891"/>
        </w:trPr>
        <w:tc>
          <w:tcPr>
            <w:tcW w:w="5070" w:type="dxa"/>
            <w:tcBorders>
              <w:bottom w:val="single" w:sz="4" w:space="0" w:color="auto"/>
            </w:tcBorders>
          </w:tcPr>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r w:rsidRPr="00720D8F">
              <w:rPr>
                <w:rFonts w:ascii="Arial" w:hAnsi="Arial" w:cs="Arial"/>
                <w:bCs/>
                <w:sz w:val="20"/>
                <w:szCs w:val="20"/>
              </w:rPr>
              <w:t>9.2</w:t>
            </w:r>
            <w:r w:rsidRPr="00720D8F">
              <w:rPr>
                <w:rFonts w:ascii="Arial" w:hAnsi="Arial" w:cs="Arial"/>
                <w:bCs/>
                <w:sz w:val="20"/>
                <w:szCs w:val="20"/>
              </w:rPr>
              <w:tab/>
              <w:t xml:space="preserve">promote inclusive and sustainable industrialization, and by 2030 raise significantly industry’s share of employment and GDP in line with national circumstances, and double its share in LDCs </w:t>
            </w: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Pr="00720D8F"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r w:rsidRPr="00720D8F">
              <w:rPr>
                <w:rFonts w:ascii="Arial" w:hAnsi="Arial" w:cs="Arial"/>
                <w:bCs/>
                <w:sz w:val="20"/>
                <w:szCs w:val="20"/>
              </w:rPr>
              <w:t>9.4</w:t>
            </w:r>
            <w:r w:rsidRPr="00720D8F">
              <w:rPr>
                <w:rFonts w:ascii="Arial" w:hAnsi="Arial" w:cs="Arial"/>
                <w:bCs/>
                <w:sz w:val="20"/>
                <w:szCs w:val="20"/>
              </w:rPr>
              <w:tab/>
              <w:t xml:space="preserve">by 2030 upgrade infrastructure and retrofit industries to make them sustainable, with increased resource use efficiency and greater adoption of clean and environmentally sound technologies and industrial processes, all countries taking action in accordance with their respective capabilities </w:t>
            </w: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Default="00311D12" w:rsidP="00720D8F">
            <w:pPr>
              <w:jc w:val="both"/>
              <w:rPr>
                <w:rFonts w:ascii="Arial" w:hAnsi="Arial" w:cs="Arial"/>
                <w:bCs/>
                <w:sz w:val="20"/>
                <w:szCs w:val="20"/>
              </w:rPr>
            </w:pPr>
          </w:p>
          <w:p w:rsidR="00311D12" w:rsidRPr="00720D8F" w:rsidRDefault="00311D12" w:rsidP="00720D8F">
            <w:pPr>
              <w:jc w:val="both"/>
              <w:rPr>
                <w:rFonts w:ascii="Arial" w:hAnsi="Arial" w:cs="Arial"/>
                <w:bCs/>
                <w:sz w:val="20"/>
                <w:szCs w:val="20"/>
              </w:rPr>
            </w:pPr>
          </w:p>
          <w:p w:rsidR="00311D12" w:rsidRPr="00855AF8" w:rsidRDefault="00311D12" w:rsidP="00574A50">
            <w:pPr>
              <w:jc w:val="both"/>
              <w:rPr>
                <w:rFonts w:ascii="Arial" w:hAnsi="Arial" w:cs="Arial"/>
                <w:b/>
                <w:bCs/>
                <w:sz w:val="20"/>
                <w:szCs w:val="20"/>
              </w:rPr>
            </w:pPr>
            <w:r w:rsidRPr="00720D8F">
              <w:rPr>
                <w:rFonts w:ascii="Arial" w:hAnsi="Arial" w:cs="Arial"/>
                <w:bCs/>
                <w:sz w:val="20"/>
                <w:szCs w:val="20"/>
              </w:rPr>
              <w:t>9.5</w:t>
            </w:r>
            <w:r w:rsidRPr="00720D8F">
              <w:rPr>
                <w:rFonts w:ascii="Arial" w:hAnsi="Arial" w:cs="Arial"/>
                <w:bCs/>
                <w:sz w:val="20"/>
                <w:szCs w:val="20"/>
              </w:rPr>
              <w:tab/>
              <w:t xml:space="preserve">enhance scientific research, upgrade the technological capabilities of industrial sectors in all countries, particularly developing countries, including by 2030 encouraging innovation and increasing the </w:t>
            </w:r>
            <w:r w:rsidRPr="00720D8F">
              <w:rPr>
                <w:rFonts w:ascii="Arial" w:hAnsi="Arial" w:cs="Arial"/>
                <w:bCs/>
                <w:sz w:val="20"/>
                <w:szCs w:val="20"/>
              </w:rPr>
              <w:lastRenderedPageBreak/>
              <w:t>number of R&amp;D workers per one million people by x% and public and private R&amp;D spending</w:t>
            </w:r>
          </w:p>
        </w:tc>
        <w:tc>
          <w:tcPr>
            <w:tcW w:w="7371" w:type="dxa"/>
            <w:tcBorders>
              <w:bottom w:val="single" w:sz="4" w:space="0" w:color="auto"/>
            </w:tcBorders>
          </w:tcPr>
          <w:p w:rsidR="00311D12" w:rsidRDefault="00311D12" w:rsidP="004D314A">
            <w:pPr>
              <w:rPr>
                <w:rFonts w:ascii="Arial" w:hAnsi="Arial" w:cs="Arial"/>
                <w:color w:val="000000"/>
                <w:sz w:val="20"/>
                <w:szCs w:val="20"/>
              </w:rPr>
            </w:pPr>
          </w:p>
          <w:p w:rsidR="00311D12" w:rsidRPr="004D314A" w:rsidRDefault="00311D12" w:rsidP="004D314A">
            <w:pPr>
              <w:rPr>
                <w:rFonts w:ascii="Arial" w:hAnsi="Arial" w:cs="Arial"/>
                <w:color w:val="000000"/>
                <w:sz w:val="20"/>
                <w:szCs w:val="20"/>
              </w:rPr>
            </w:pPr>
            <w:r>
              <w:rPr>
                <w:rFonts w:ascii="Arial" w:hAnsi="Arial" w:cs="Arial"/>
                <w:color w:val="000000"/>
                <w:sz w:val="20"/>
                <w:szCs w:val="20"/>
              </w:rPr>
              <w:t xml:space="preserve">9.2.1 </w:t>
            </w:r>
            <w:r w:rsidRPr="004D314A">
              <w:rPr>
                <w:rFonts w:ascii="Arial" w:hAnsi="Arial" w:cs="Arial"/>
                <w:color w:val="000000"/>
                <w:sz w:val="20"/>
                <w:szCs w:val="20"/>
              </w:rPr>
              <w:t>Number of deaths/occurrence of diseases attributable to chemicals exposure in the workplace.</w:t>
            </w:r>
          </w:p>
          <w:p w:rsidR="00311D12" w:rsidRPr="004D314A" w:rsidRDefault="00311D12" w:rsidP="004D314A">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9.2.2 </w:t>
            </w:r>
            <w:r w:rsidRPr="004D314A">
              <w:rPr>
                <w:rFonts w:ascii="Arial" w:hAnsi="Arial" w:cs="Arial"/>
                <w:color w:val="000000"/>
                <w:sz w:val="20"/>
                <w:szCs w:val="20"/>
              </w:rPr>
              <w:t>Number of workers employed in sectors with exposure to chemicals and waste where little or no individual and collective protective measures are in place.</w:t>
            </w:r>
          </w:p>
          <w:p w:rsidR="00311D12" w:rsidRPr="004D314A" w:rsidRDefault="00311D12" w:rsidP="004D314A">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9.2.3 </w:t>
            </w:r>
            <w:r w:rsidRPr="004D314A">
              <w:rPr>
                <w:rFonts w:ascii="Arial" w:hAnsi="Arial" w:cs="Arial"/>
                <w:color w:val="000000"/>
                <w:sz w:val="20"/>
                <w:szCs w:val="20"/>
              </w:rPr>
              <w:t>Number of job created in the field of environmentally sound waste management and decontamination.</w:t>
            </w:r>
          </w:p>
          <w:p w:rsidR="00311D12" w:rsidRDefault="00311D12" w:rsidP="004D314A">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9.2.4 </w:t>
            </w:r>
            <w:r w:rsidRPr="004D314A">
              <w:rPr>
                <w:rFonts w:ascii="Arial" w:hAnsi="Arial" w:cs="Arial"/>
                <w:color w:val="000000"/>
                <w:sz w:val="20"/>
                <w:szCs w:val="20"/>
              </w:rPr>
              <w:t>Numbers of working days with limited or no ability to work due to occupational chemical poisoning.</w:t>
            </w:r>
          </w:p>
          <w:p w:rsidR="00311D12" w:rsidRPr="0089703F" w:rsidRDefault="00311D12" w:rsidP="004D314A">
            <w:pPr>
              <w:rPr>
                <w:rFonts w:ascii="Arial" w:hAnsi="Arial" w:cs="Arial"/>
                <w:b/>
                <w:color w:val="0070C0"/>
                <w:sz w:val="20"/>
                <w:szCs w:val="20"/>
              </w:rPr>
            </w:pPr>
            <w:r w:rsidRPr="0089703F">
              <w:rPr>
                <w:rFonts w:ascii="Arial" w:hAnsi="Arial" w:cs="Arial"/>
                <w:b/>
                <w:color w:val="0070C0"/>
                <w:sz w:val="20"/>
                <w:szCs w:val="20"/>
              </w:rPr>
              <w:t xml:space="preserve">9.4.1 Number of countries that developed sound chemicals management corporate policies and practices throughout the value chain, including extended producer responsibility, communication about chemical hazards and risks both for chemicals and chemicals in products as well as the promotion of green design and BAT/BEP. </w:t>
            </w:r>
          </w:p>
          <w:p w:rsidR="00311D12" w:rsidRPr="0089703F" w:rsidRDefault="00311D12" w:rsidP="00C56231">
            <w:pPr>
              <w:spacing w:before="100" w:beforeAutospacing="1" w:after="100" w:afterAutospacing="1"/>
              <w:rPr>
                <w:rFonts w:ascii="Arial" w:hAnsi="Arial" w:cs="Arial"/>
                <w:b/>
                <w:color w:val="0070C0"/>
                <w:sz w:val="20"/>
                <w:szCs w:val="20"/>
              </w:rPr>
            </w:pPr>
            <w:r w:rsidRPr="0089703F">
              <w:rPr>
                <w:rFonts w:ascii="Arial" w:hAnsi="Arial" w:cs="Arial"/>
                <w:b/>
                <w:color w:val="0070C0"/>
                <w:sz w:val="20"/>
                <w:szCs w:val="20"/>
              </w:rPr>
              <w:t>9.4.2 Number of regulations and financial incentives developed to reduce the use of chemicals of highest concerns and to promote and substitute with safer alternatives</w:t>
            </w:r>
          </w:p>
          <w:p w:rsidR="00311D12" w:rsidRDefault="00311D12" w:rsidP="00293DC6">
            <w:pPr>
              <w:rPr>
                <w:rFonts w:ascii="Arial" w:hAnsi="Arial" w:cs="Arial"/>
                <w:color w:val="000000"/>
                <w:sz w:val="20"/>
                <w:szCs w:val="20"/>
              </w:rPr>
            </w:pPr>
          </w:p>
          <w:p w:rsidR="00311D12" w:rsidRPr="00534E62" w:rsidRDefault="00311D12" w:rsidP="00293DC6">
            <w:pPr>
              <w:rPr>
                <w:rFonts w:ascii="Arial" w:hAnsi="Arial" w:cs="Arial"/>
                <w:b/>
                <w:color w:val="0070C0"/>
                <w:sz w:val="20"/>
                <w:szCs w:val="20"/>
              </w:rPr>
            </w:pPr>
            <w:r w:rsidRPr="00534E62">
              <w:rPr>
                <w:rFonts w:ascii="Arial" w:hAnsi="Arial" w:cs="Arial"/>
                <w:b/>
                <w:color w:val="0070C0"/>
                <w:sz w:val="20"/>
                <w:szCs w:val="20"/>
              </w:rPr>
              <w:t>9.5.1 Investments (in monetary terms)  in research and development to promote green product design and safer alternatives, including non-chemical alternatives</w:t>
            </w:r>
          </w:p>
          <w:p w:rsidR="00311D12" w:rsidRPr="008C0A43" w:rsidRDefault="00311D12" w:rsidP="008C0A43">
            <w:pPr>
              <w:spacing w:before="100" w:beforeAutospacing="1" w:after="100" w:afterAutospacing="1"/>
              <w:rPr>
                <w:rFonts w:ascii="Arial" w:hAnsi="Arial" w:cs="Arial"/>
                <w:color w:val="000000"/>
                <w:sz w:val="20"/>
                <w:szCs w:val="20"/>
              </w:rPr>
            </w:pPr>
          </w:p>
        </w:tc>
        <w:tc>
          <w:tcPr>
            <w:tcW w:w="1984" w:type="dxa"/>
            <w:tcBorders>
              <w:bottom w:val="single" w:sz="4" w:space="0" w:color="auto"/>
            </w:tcBorders>
          </w:tcPr>
          <w:p w:rsidR="00311D12" w:rsidRDefault="00311D12" w:rsidP="008C0A43">
            <w:pPr>
              <w:spacing w:before="100" w:beforeAutospacing="1" w:after="100" w:afterAutospacing="1"/>
              <w:rPr>
                <w:rFonts w:ascii="Arial" w:hAnsi="Arial" w:cs="Arial"/>
                <w:color w:val="000000"/>
                <w:sz w:val="20"/>
                <w:szCs w:val="20"/>
              </w:rPr>
            </w:pPr>
          </w:p>
          <w:p w:rsidR="00311D12" w:rsidRDefault="00311D12" w:rsidP="008C0A43">
            <w:pPr>
              <w:spacing w:before="100" w:beforeAutospacing="1" w:after="100" w:afterAutospacing="1"/>
              <w:rPr>
                <w:rFonts w:ascii="Arial" w:hAnsi="Arial" w:cs="Arial"/>
                <w:color w:val="000000"/>
                <w:sz w:val="20"/>
                <w:szCs w:val="20"/>
              </w:rPr>
            </w:pPr>
          </w:p>
          <w:p w:rsidR="00311D12" w:rsidRDefault="00311D12" w:rsidP="008C0A43">
            <w:pPr>
              <w:spacing w:before="100" w:beforeAutospacing="1" w:after="100" w:afterAutospacing="1"/>
              <w:rPr>
                <w:rFonts w:ascii="Arial" w:hAnsi="Arial" w:cs="Arial"/>
                <w:color w:val="000000"/>
                <w:sz w:val="20"/>
                <w:szCs w:val="20"/>
              </w:rPr>
            </w:pPr>
          </w:p>
          <w:p w:rsidR="00311D12" w:rsidRDefault="00311D12" w:rsidP="008C0A43">
            <w:pPr>
              <w:spacing w:before="100" w:beforeAutospacing="1" w:after="100" w:afterAutospacing="1"/>
              <w:rPr>
                <w:rFonts w:ascii="Arial" w:hAnsi="Arial" w:cs="Arial"/>
                <w:color w:val="000000"/>
                <w:sz w:val="20"/>
                <w:szCs w:val="20"/>
              </w:rPr>
            </w:pPr>
          </w:p>
          <w:p w:rsidR="00311D12" w:rsidRDefault="00311D12" w:rsidP="008C0A43">
            <w:pPr>
              <w:spacing w:before="100" w:beforeAutospacing="1" w:after="100" w:afterAutospacing="1"/>
              <w:rPr>
                <w:rFonts w:ascii="Arial" w:hAnsi="Arial" w:cs="Arial"/>
                <w:color w:val="000000"/>
                <w:sz w:val="20"/>
                <w:szCs w:val="20"/>
              </w:rPr>
            </w:pPr>
          </w:p>
          <w:p w:rsidR="00311D12" w:rsidRDefault="00311D12" w:rsidP="008C0A43">
            <w:pPr>
              <w:spacing w:before="100" w:beforeAutospacing="1" w:after="100" w:afterAutospacing="1"/>
              <w:rPr>
                <w:rFonts w:ascii="Arial" w:hAnsi="Arial" w:cs="Arial"/>
                <w:color w:val="000000"/>
                <w:sz w:val="20"/>
                <w:szCs w:val="20"/>
              </w:rPr>
            </w:pPr>
          </w:p>
          <w:p w:rsidR="00311D12" w:rsidRDefault="00311D12" w:rsidP="008C0A43">
            <w:pPr>
              <w:spacing w:before="100" w:beforeAutospacing="1" w:after="100" w:afterAutospacing="1"/>
              <w:rPr>
                <w:rFonts w:ascii="Arial" w:hAnsi="Arial" w:cs="Arial"/>
                <w:color w:val="000000"/>
                <w:sz w:val="20"/>
                <w:szCs w:val="20"/>
              </w:rPr>
            </w:pPr>
          </w:p>
          <w:p w:rsidR="00311D12" w:rsidRDefault="00311D12" w:rsidP="00293DC6">
            <w:pPr>
              <w:spacing w:before="100" w:beforeAutospacing="1" w:after="100" w:afterAutospacing="1"/>
              <w:rPr>
                <w:rFonts w:ascii="Arial" w:hAnsi="Arial" w:cs="Arial"/>
                <w:color w:val="000000"/>
                <w:sz w:val="20"/>
                <w:szCs w:val="20"/>
              </w:rPr>
            </w:pPr>
            <w:r>
              <w:rPr>
                <w:rFonts w:ascii="Arial" w:hAnsi="Arial" w:cs="Arial"/>
                <w:color w:val="000000"/>
                <w:sz w:val="20"/>
                <w:szCs w:val="20"/>
              </w:rPr>
              <w:t>Same as the 12.4.7 and 12.4.8 under SCP</w:t>
            </w:r>
          </w:p>
          <w:p w:rsidR="00311D12" w:rsidRDefault="00311D12" w:rsidP="00293DC6">
            <w:pPr>
              <w:spacing w:before="100" w:beforeAutospacing="1" w:after="100" w:afterAutospacing="1"/>
              <w:rPr>
                <w:rFonts w:ascii="Arial" w:hAnsi="Arial" w:cs="Arial"/>
                <w:color w:val="000000"/>
                <w:sz w:val="20"/>
                <w:szCs w:val="20"/>
              </w:rPr>
            </w:pPr>
          </w:p>
          <w:p w:rsidR="00311D12" w:rsidRDefault="00311D12" w:rsidP="00293DC6">
            <w:pPr>
              <w:spacing w:before="100" w:beforeAutospacing="1" w:after="100" w:afterAutospacing="1"/>
              <w:rPr>
                <w:rFonts w:ascii="Arial" w:hAnsi="Arial" w:cs="Arial"/>
                <w:color w:val="000000"/>
                <w:sz w:val="20"/>
                <w:szCs w:val="20"/>
              </w:rPr>
            </w:pPr>
          </w:p>
          <w:p w:rsidR="00534E62" w:rsidRDefault="00534E62" w:rsidP="00293DC6">
            <w:pPr>
              <w:spacing w:before="100" w:beforeAutospacing="1" w:after="100" w:afterAutospacing="1"/>
              <w:rPr>
                <w:rFonts w:ascii="Arial" w:hAnsi="Arial" w:cs="Arial"/>
                <w:color w:val="000000"/>
                <w:sz w:val="20"/>
                <w:szCs w:val="20"/>
              </w:rPr>
            </w:pPr>
          </w:p>
          <w:p w:rsidR="00311D12" w:rsidRDefault="00311D12" w:rsidP="00293DC6">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Same as the 12.4.6 under SCP  </w:t>
            </w:r>
          </w:p>
          <w:p w:rsidR="00311D12" w:rsidRPr="008C0A43" w:rsidRDefault="00311D12" w:rsidP="008C0A43">
            <w:pPr>
              <w:spacing w:before="100" w:beforeAutospacing="1" w:after="100" w:afterAutospacing="1"/>
              <w:rPr>
                <w:rFonts w:ascii="Arial" w:hAnsi="Arial" w:cs="Arial"/>
                <w:color w:val="000000"/>
                <w:sz w:val="20"/>
                <w:szCs w:val="20"/>
              </w:rPr>
            </w:pPr>
          </w:p>
        </w:tc>
      </w:tr>
      <w:tr w:rsidR="00311D12" w:rsidRPr="009C1C09" w:rsidTr="00C56231">
        <w:trPr>
          <w:trHeight w:val="898"/>
        </w:trPr>
        <w:tc>
          <w:tcPr>
            <w:tcW w:w="14425" w:type="dxa"/>
            <w:gridSpan w:val="3"/>
            <w:tcBorders>
              <w:bottom w:val="single" w:sz="4" w:space="0" w:color="auto"/>
            </w:tcBorders>
            <w:shd w:val="clear" w:color="auto" w:fill="FFC000"/>
            <w:vAlign w:val="center"/>
          </w:tcPr>
          <w:p w:rsidR="00311D12" w:rsidRPr="00C56231" w:rsidRDefault="00311D12" w:rsidP="00C56231">
            <w:pPr>
              <w:jc w:val="center"/>
              <w:rPr>
                <w:rFonts w:ascii="Arial" w:eastAsia="SimSun" w:hAnsi="Arial" w:cs="Arial"/>
                <w:color w:val="000000"/>
                <w:szCs w:val="20"/>
              </w:rPr>
            </w:pPr>
            <w:r w:rsidRPr="00C56231">
              <w:rPr>
                <w:rFonts w:ascii="Arial" w:hAnsi="Arial" w:cs="Arial"/>
                <w:b/>
                <w:bCs/>
                <w:szCs w:val="20"/>
              </w:rPr>
              <w:lastRenderedPageBreak/>
              <w:t>Proposed goal 11. Make cities and human settlements inclusive, safe, resilient and sustainable</w:t>
            </w:r>
          </w:p>
        </w:tc>
      </w:tr>
      <w:tr w:rsidR="00311D12" w:rsidRPr="009C1C09" w:rsidTr="00574A50">
        <w:trPr>
          <w:trHeight w:val="749"/>
        </w:trPr>
        <w:tc>
          <w:tcPr>
            <w:tcW w:w="5070" w:type="dxa"/>
            <w:tcBorders>
              <w:bottom w:val="single" w:sz="4" w:space="0" w:color="auto"/>
            </w:tcBorders>
          </w:tcPr>
          <w:p w:rsidR="00311D12" w:rsidRPr="00855AF8" w:rsidRDefault="00311D12" w:rsidP="005A1486">
            <w:pPr>
              <w:jc w:val="both"/>
              <w:rPr>
                <w:rFonts w:ascii="Arial" w:hAnsi="Arial" w:cs="Arial"/>
                <w:b/>
                <w:bCs/>
                <w:sz w:val="20"/>
                <w:szCs w:val="20"/>
              </w:rPr>
            </w:pPr>
          </w:p>
          <w:p w:rsidR="00311D12" w:rsidRDefault="00311D12" w:rsidP="005A1486">
            <w:pPr>
              <w:jc w:val="both"/>
              <w:rPr>
                <w:rFonts w:ascii="Arial" w:hAnsi="Arial" w:cs="Arial"/>
                <w:sz w:val="20"/>
                <w:szCs w:val="20"/>
              </w:rPr>
            </w:pPr>
            <w:r w:rsidRPr="001676DB">
              <w:rPr>
                <w:rFonts w:ascii="Arial" w:hAnsi="Arial" w:cs="Arial"/>
                <w:sz w:val="20"/>
                <w:szCs w:val="20"/>
              </w:rPr>
              <w:t>11.1</w:t>
            </w:r>
            <w:r w:rsidRPr="001676DB">
              <w:rPr>
                <w:rFonts w:ascii="Arial" w:hAnsi="Arial" w:cs="Arial"/>
                <w:sz w:val="20"/>
                <w:szCs w:val="20"/>
              </w:rPr>
              <w:tab/>
              <w:t>by 2030, ensure access for all to adequate, safe and affordable housing and basic services, and upgrade slums</w:t>
            </w: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Pr="00855AF8" w:rsidRDefault="00311D12" w:rsidP="005A1486">
            <w:pPr>
              <w:jc w:val="both"/>
              <w:rPr>
                <w:rFonts w:ascii="Arial" w:hAnsi="Arial" w:cs="Arial"/>
                <w:sz w:val="20"/>
                <w:szCs w:val="20"/>
              </w:rPr>
            </w:pPr>
            <w:r w:rsidRPr="00855AF8">
              <w:rPr>
                <w:rFonts w:ascii="Arial" w:hAnsi="Arial" w:cs="Arial"/>
                <w:sz w:val="20"/>
                <w:szCs w:val="20"/>
              </w:rPr>
              <w:t xml:space="preserve">11.6        by 2030, reduce the adverse per capita environmental impact of cities, including by paying special attention to air quality, municipal and other waste management </w:t>
            </w:r>
          </w:p>
          <w:p w:rsidR="00311D12" w:rsidRPr="009C1C09" w:rsidRDefault="00311D12" w:rsidP="001964FF">
            <w:pPr>
              <w:rPr>
                <w:rFonts w:ascii="Arial" w:hAnsi="Arial" w:cs="Arial"/>
                <w:b/>
                <w:color w:val="000000"/>
                <w:sz w:val="20"/>
                <w:szCs w:val="20"/>
              </w:rPr>
            </w:pPr>
          </w:p>
        </w:tc>
        <w:tc>
          <w:tcPr>
            <w:tcW w:w="7371" w:type="dxa"/>
            <w:tcBorders>
              <w:bottom w:val="single" w:sz="4" w:space="0" w:color="auto"/>
            </w:tcBorders>
          </w:tcPr>
          <w:p w:rsidR="00311D12" w:rsidRDefault="00311D12" w:rsidP="00773584">
            <w:pPr>
              <w:pStyle w:val="ListParagraph"/>
              <w:spacing w:before="100" w:beforeAutospacing="1" w:after="100" w:afterAutospacing="1"/>
              <w:ind w:left="360"/>
              <w:rPr>
                <w:rFonts w:ascii="Arial" w:hAnsi="Arial" w:cs="Arial"/>
                <w:color w:val="000000"/>
                <w:sz w:val="20"/>
                <w:szCs w:val="20"/>
                <w:lang w:val="en-GB"/>
              </w:rPr>
            </w:pPr>
          </w:p>
          <w:p w:rsidR="00311D12" w:rsidRPr="00534E62" w:rsidRDefault="00311D12" w:rsidP="00E34C41">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11.1.1 Percentage of people living in or within x distance to uncontrolled dumpsites and other “hot spots” emitting and releasing hazardous chemical.</w:t>
            </w:r>
          </w:p>
          <w:p w:rsidR="00311D12" w:rsidRPr="00534E62" w:rsidRDefault="00311D12" w:rsidP="00E34C41">
            <w:pPr>
              <w:pStyle w:val="ListParagraph"/>
              <w:spacing w:before="100" w:beforeAutospacing="1" w:after="100" w:afterAutospacing="1"/>
              <w:ind w:left="360"/>
              <w:rPr>
                <w:rFonts w:ascii="Arial" w:hAnsi="Arial" w:cs="Arial"/>
                <w:b/>
                <w:color w:val="0070C0"/>
                <w:sz w:val="20"/>
                <w:szCs w:val="20"/>
              </w:rPr>
            </w:pPr>
          </w:p>
          <w:p w:rsidR="00311D12" w:rsidRPr="00534E62" w:rsidRDefault="00311D12" w:rsidP="00E34C41">
            <w:pPr>
              <w:pStyle w:val="ListParagraph"/>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11.1.2 Percentage of major toxic hotspots/sites/stockpiles with chemical risk management measures applied</w:t>
            </w:r>
          </w:p>
          <w:p w:rsidR="00311D12" w:rsidRPr="00534E62" w:rsidRDefault="00311D12" w:rsidP="00773584">
            <w:pPr>
              <w:pStyle w:val="ListParagraph"/>
              <w:spacing w:before="100" w:beforeAutospacing="1" w:after="100" w:afterAutospacing="1"/>
              <w:ind w:left="360"/>
              <w:rPr>
                <w:rFonts w:ascii="Arial" w:hAnsi="Arial" w:cs="Arial"/>
                <w:b/>
                <w:color w:val="0070C0"/>
                <w:sz w:val="20"/>
                <w:szCs w:val="20"/>
              </w:rPr>
            </w:pPr>
          </w:p>
          <w:p w:rsidR="00311D12" w:rsidRPr="00534E62" w:rsidRDefault="00311D12" w:rsidP="00773584">
            <w:pPr>
              <w:pStyle w:val="ListParagraph"/>
              <w:spacing w:before="100" w:beforeAutospacing="1" w:after="100" w:afterAutospacing="1"/>
              <w:ind w:left="360"/>
              <w:rPr>
                <w:rFonts w:ascii="Arial" w:hAnsi="Arial" w:cs="Arial"/>
                <w:b/>
                <w:color w:val="0070C0"/>
                <w:sz w:val="20"/>
                <w:szCs w:val="22"/>
                <w:lang w:val="en-GB"/>
              </w:rPr>
            </w:pPr>
          </w:p>
          <w:p w:rsidR="00311D12" w:rsidRPr="00534E62" w:rsidRDefault="00311D12" w:rsidP="00773584">
            <w:pPr>
              <w:pStyle w:val="ListParagraph"/>
              <w:spacing w:before="100" w:beforeAutospacing="1" w:after="100" w:afterAutospacing="1"/>
              <w:ind w:left="360"/>
              <w:rPr>
                <w:rFonts w:ascii="Arial" w:hAnsi="Arial" w:cs="Arial"/>
                <w:b/>
                <w:color w:val="0070C0"/>
                <w:sz w:val="20"/>
                <w:szCs w:val="22"/>
                <w:lang w:val="en-GB"/>
              </w:rPr>
            </w:pPr>
            <w:r w:rsidRPr="00534E62">
              <w:rPr>
                <w:rFonts w:ascii="Arial" w:hAnsi="Arial" w:cs="Arial"/>
                <w:b/>
                <w:color w:val="0070C0"/>
                <w:sz w:val="20"/>
                <w:szCs w:val="22"/>
                <w:lang w:val="en-GB"/>
              </w:rPr>
              <w:t>11.6.1 Number of deaths as well and environmental and economic losses from industrial/technological disasters/emergencies</w:t>
            </w:r>
          </w:p>
          <w:p w:rsidR="00311D12" w:rsidRPr="00E34C41" w:rsidRDefault="00311D12" w:rsidP="00773584">
            <w:pPr>
              <w:pStyle w:val="ListParagraph"/>
              <w:spacing w:before="100" w:beforeAutospacing="1" w:after="100" w:afterAutospacing="1"/>
              <w:ind w:left="360"/>
              <w:rPr>
                <w:rFonts w:ascii="Arial" w:hAnsi="Arial" w:cs="Arial"/>
                <w:color w:val="000000"/>
                <w:sz w:val="20"/>
                <w:szCs w:val="22"/>
                <w:lang w:val="en-GB"/>
              </w:rPr>
            </w:pPr>
          </w:p>
          <w:p w:rsidR="00311D12" w:rsidRPr="00E34C41" w:rsidRDefault="00311D12" w:rsidP="00773584">
            <w:pPr>
              <w:pStyle w:val="ListParagraph"/>
              <w:spacing w:before="100" w:beforeAutospacing="1" w:after="100" w:afterAutospacing="1"/>
              <w:ind w:left="360"/>
              <w:rPr>
                <w:rFonts w:ascii="Arial" w:hAnsi="Arial" w:cs="Arial"/>
                <w:sz w:val="20"/>
                <w:szCs w:val="22"/>
              </w:rPr>
            </w:pPr>
            <w:r w:rsidRPr="00E34C41">
              <w:rPr>
                <w:rFonts w:ascii="Arial" w:hAnsi="Arial" w:cs="Arial"/>
                <w:color w:val="000000"/>
                <w:sz w:val="20"/>
                <w:szCs w:val="22"/>
                <w:lang w:val="en-GB"/>
              </w:rPr>
              <w:t xml:space="preserve">11.6.2 </w:t>
            </w:r>
            <w:r w:rsidRPr="00E34C41">
              <w:rPr>
                <w:rFonts w:ascii="Arial" w:hAnsi="Arial" w:cs="Arial"/>
                <w:sz w:val="20"/>
                <w:szCs w:val="22"/>
              </w:rPr>
              <w:t xml:space="preserve">Concentration of hazardous pollutants in the air  </w:t>
            </w:r>
          </w:p>
          <w:p w:rsidR="00311D12" w:rsidRPr="00E34C41" w:rsidRDefault="00311D12" w:rsidP="00773584">
            <w:pPr>
              <w:pStyle w:val="ListParagraph"/>
              <w:spacing w:before="100" w:beforeAutospacing="1" w:after="100" w:afterAutospacing="1"/>
              <w:ind w:left="360"/>
              <w:rPr>
                <w:rFonts w:ascii="Arial" w:hAnsi="Arial" w:cs="Arial"/>
                <w:color w:val="000000"/>
                <w:sz w:val="20"/>
                <w:szCs w:val="22"/>
              </w:rPr>
            </w:pPr>
          </w:p>
          <w:p w:rsidR="00311D12" w:rsidRPr="00534E62" w:rsidRDefault="00311D12" w:rsidP="00E34C41">
            <w:pPr>
              <w:pStyle w:val="ListParagraph"/>
              <w:autoSpaceDE w:val="0"/>
              <w:autoSpaceDN w:val="0"/>
              <w:ind w:left="360"/>
              <w:contextualSpacing w:val="0"/>
              <w:rPr>
                <w:rFonts w:ascii="Arial" w:eastAsia="SimSun" w:hAnsi="Arial" w:cs="Arial"/>
                <w:b/>
                <w:color w:val="0070C0"/>
                <w:sz w:val="20"/>
                <w:szCs w:val="22"/>
              </w:rPr>
            </w:pPr>
            <w:r w:rsidRPr="00534E62">
              <w:rPr>
                <w:rFonts w:ascii="Arial" w:hAnsi="Arial" w:cs="Arial"/>
                <w:b/>
                <w:color w:val="0070C0"/>
                <w:sz w:val="20"/>
                <w:szCs w:val="22"/>
                <w:lang w:val="en-GB"/>
              </w:rPr>
              <w:t xml:space="preserve">11.6.3 </w:t>
            </w:r>
            <w:r w:rsidRPr="00534E62">
              <w:rPr>
                <w:rFonts w:ascii="Arial" w:eastAsia="SimSun" w:hAnsi="Arial" w:cs="Arial"/>
                <w:b/>
                <w:color w:val="0070C0"/>
                <w:sz w:val="20"/>
                <w:szCs w:val="22"/>
              </w:rPr>
              <w:t>Proportion of the urban population exposed to small/fine urban particulates (PM</w:t>
            </w:r>
            <w:r w:rsidRPr="00534E62">
              <w:rPr>
                <w:rFonts w:ascii="Arial" w:eastAsia="SimSun" w:hAnsi="Arial" w:cs="Arial"/>
                <w:b/>
                <w:color w:val="0070C0"/>
                <w:sz w:val="20"/>
                <w:szCs w:val="22"/>
                <w:vertAlign w:val="subscript"/>
              </w:rPr>
              <w:t>10</w:t>
            </w:r>
            <w:r w:rsidRPr="00534E62">
              <w:rPr>
                <w:rFonts w:ascii="Arial" w:eastAsia="SimSun" w:hAnsi="Arial" w:cs="Arial"/>
                <w:b/>
                <w:color w:val="0070C0"/>
                <w:sz w:val="20"/>
                <w:szCs w:val="22"/>
              </w:rPr>
              <w:t xml:space="preserve"> or PM</w:t>
            </w:r>
            <w:r w:rsidRPr="00534E62">
              <w:rPr>
                <w:rFonts w:ascii="Arial" w:eastAsia="SimSun" w:hAnsi="Arial" w:cs="Arial"/>
                <w:b/>
                <w:color w:val="0070C0"/>
                <w:sz w:val="20"/>
                <w:szCs w:val="22"/>
                <w:vertAlign w:val="subscript"/>
              </w:rPr>
              <w:t>2.5</w:t>
            </w:r>
            <w:r w:rsidRPr="00534E62">
              <w:rPr>
                <w:rFonts w:ascii="Arial" w:eastAsia="SimSun" w:hAnsi="Arial" w:cs="Arial"/>
                <w:b/>
                <w:color w:val="0070C0"/>
                <w:sz w:val="20"/>
                <w:szCs w:val="22"/>
              </w:rPr>
              <w:t xml:space="preserve">) in concentrations exceeding WHO Air Quality Guidelines </w:t>
            </w:r>
          </w:p>
          <w:p w:rsidR="00311D12" w:rsidRDefault="00311D12" w:rsidP="00E34C41">
            <w:pPr>
              <w:pStyle w:val="ListParagraph"/>
              <w:autoSpaceDE w:val="0"/>
              <w:autoSpaceDN w:val="0"/>
              <w:ind w:left="360"/>
              <w:contextualSpacing w:val="0"/>
              <w:rPr>
                <w:rFonts w:ascii="Arial" w:eastAsia="SimSun" w:hAnsi="Arial" w:cs="Arial"/>
                <w:color w:val="000000"/>
                <w:sz w:val="20"/>
                <w:szCs w:val="22"/>
              </w:rPr>
            </w:pPr>
          </w:p>
          <w:p w:rsidR="00311D12" w:rsidRPr="00534E62" w:rsidRDefault="00311D12" w:rsidP="00D80A2E">
            <w:pPr>
              <w:spacing w:before="100" w:beforeAutospacing="1" w:after="100" w:afterAutospacing="1"/>
              <w:ind w:left="360"/>
              <w:rPr>
                <w:rFonts w:ascii="Arial" w:hAnsi="Arial" w:cs="Arial"/>
                <w:b/>
                <w:color w:val="0070C0"/>
                <w:sz w:val="20"/>
                <w:szCs w:val="20"/>
              </w:rPr>
            </w:pPr>
            <w:r w:rsidRPr="00534E62">
              <w:rPr>
                <w:rFonts w:ascii="Arial" w:eastAsia="SimSun" w:hAnsi="Arial" w:cs="Arial"/>
                <w:b/>
                <w:color w:val="0070C0"/>
                <w:sz w:val="20"/>
                <w:szCs w:val="22"/>
              </w:rPr>
              <w:t>11</w:t>
            </w:r>
            <w:r w:rsidRPr="00534E62">
              <w:rPr>
                <w:rFonts w:ascii="Arial" w:hAnsi="Arial" w:cs="Arial"/>
                <w:b/>
                <w:color w:val="0070C0"/>
                <w:sz w:val="20"/>
                <w:szCs w:val="20"/>
              </w:rPr>
              <w:t xml:space="preserve">.6.4 Waste generation rates (kg per capita/year, overall and by economic sector)  </w:t>
            </w:r>
          </w:p>
          <w:p w:rsidR="00311D12" w:rsidRPr="00534E62" w:rsidRDefault="00311D12" w:rsidP="00D80A2E">
            <w:pPr>
              <w:spacing w:before="100" w:beforeAutospacing="1" w:after="100" w:afterAutospacing="1"/>
              <w:ind w:left="360"/>
              <w:rPr>
                <w:rFonts w:ascii="Arial" w:hAnsi="Arial" w:cs="Arial"/>
                <w:b/>
                <w:color w:val="0070C0"/>
                <w:sz w:val="20"/>
                <w:szCs w:val="20"/>
              </w:rPr>
            </w:pPr>
            <w:r w:rsidRPr="00534E62">
              <w:rPr>
                <w:rFonts w:ascii="Arial" w:eastAsia="SimSun" w:hAnsi="Arial" w:cs="Arial"/>
                <w:b/>
                <w:color w:val="0070C0"/>
                <w:sz w:val="20"/>
                <w:szCs w:val="22"/>
              </w:rPr>
              <w:t>11</w:t>
            </w:r>
            <w:r w:rsidRPr="00534E62">
              <w:rPr>
                <w:rFonts w:ascii="Arial" w:hAnsi="Arial" w:cs="Arial"/>
                <w:b/>
                <w:color w:val="0070C0"/>
                <w:sz w:val="20"/>
                <w:szCs w:val="20"/>
              </w:rPr>
              <w:t>.6.5 Percentage of waste materials recovered, reused and recycled, including for energy generation</w:t>
            </w:r>
          </w:p>
          <w:p w:rsidR="00311D12" w:rsidRPr="00534E62" w:rsidRDefault="00311D12" w:rsidP="00C56231">
            <w:pPr>
              <w:spacing w:before="100" w:beforeAutospacing="1" w:after="100" w:afterAutospacing="1"/>
              <w:ind w:left="360"/>
              <w:rPr>
                <w:rFonts w:ascii="Arial" w:hAnsi="Arial" w:cs="Arial"/>
                <w:b/>
                <w:color w:val="0070C0"/>
                <w:sz w:val="20"/>
                <w:szCs w:val="20"/>
              </w:rPr>
            </w:pPr>
            <w:r w:rsidRPr="00534E62">
              <w:rPr>
                <w:rFonts w:ascii="Arial" w:hAnsi="Arial" w:cs="Arial"/>
                <w:b/>
                <w:color w:val="0070C0"/>
                <w:sz w:val="20"/>
                <w:szCs w:val="20"/>
              </w:rPr>
              <w:t xml:space="preserve">11.6.6 Number of cities with infrastructure in place for sustainable waste collection, separation, re-use, transport, recycling, resource </w:t>
            </w:r>
            <w:r w:rsidRPr="00534E62">
              <w:rPr>
                <w:rFonts w:ascii="Arial" w:hAnsi="Arial" w:cs="Arial"/>
                <w:b/>
                <w:color w:val="0070C0"/>
                <w:sz w:val="20"/>
                <w:szCs w:val="20"/>
              </w:rPr>
              <w:lastRenderedPageBreak/>
              <w:t>recovery, and disposal</w:t>
            </w:r>
          </w:p>
          <w:p w:rsidR="00311D12" w:rsidRPr="009C1C09" w:rsidRDefault="00311D12" w:rsidP="00C56231">
            <w:pPr>
              <w:spacing w:before="100" w:beforeAutospacing="1" w:after="100" w:afterAutospacing="1"/>
              <w:ind w:left="360"/>
              <w:rPr>
                <w:rFonts w:ascii="Arial" w:hAnsi="Arial" w:cs="Arial"/>
                <w:color w:val="000000"/>
                <w:sz w:val="20"/>
                <w:szCs w:val="20"/>
              </w:rPr>
            </w:pPr>
          </w:p>
        </w:tc>
        <w:tc>
          <w:tcPr>
            <w:tcW w:w="1984" w:type="dxa"/>
            <w:tcBorders>
              <w:bottom w:val="single" w:sz="4" w:space="0" w:color="auto"/>
            </w:tcBorders>
          </w:tcPr>
          <w:p w:rsidR="00311D12" w:rsidRDefault="00311D12" w:rsidP="008C0A43">
            <w:pPr>
              <w:pStyle w:val="ListParagraph"/>
              <w:spacing w:before="100" w:beforeAutospacing="1" w:after="100" w:afterAutospacing="1"/>
              <w:ind w:left="360"/>
              <w:rPr>
                <w:rFonts w:ascii="Arial" w:eastAsia="SimSun" w:hAnsi="Arial" w:cs="Arial"/>
                <w:color w:val="000000"/>
                <w:sz w:val="20"/>
                <w:szCs w:val="20"/>
              </w:rPr>
            </w:pPr>
          </w:p>
          <w:p w:rsidR="00311D12" w:rsidRDefault="00311D12" w:rsidP="00D80A2E">
            <w:pPr>
              <w:pStyle w:val="ListParagraph"/>
              <w:spacing w:before="100" w:beforeAutospacing="1" w:after="100" w:afterAutospacing="1"/>
              <w:ind w:left="33"/>
              <w:rPr>
                <w:rFonts w:ascii="Arial" w:eastAsia="SimSun" w:hAnsi="Arial" w:cs="Arial"/>
                <w:color w:val="000000"/>
                <w:sz w:val="20"/>
                <w:szCs w:val="20"/>
              </w:rPr>
            </w:pPr>
            <w:r>
              <w:rPr>
                <w:rFonts w:ascii="Arial" w:eastAsia="SimSun" w:hAnsi="Arial" w:cs="Arial"/>
                <w:color w:val="000000"/>
                <w:sz w:val="20"/>
                <w:szCs w:val="20"/>
              </w:rPr>
              <w:t>S</w:t>
            </w:r>
            <w:r w:rsidRPr="00E34C41">
              <w:rPr>
                <w:rFonts w:ascii="Arial" w:eastAsia="SimSun" w:hAnsi="Arial" w:cs="Arial"/>
                <w:color w:val="000000"/>
                <w:sz w:val="20"/>
                <w:szCs w:val="20"/>
              </w:rPr>
              <w:t xml:space="preserve">ame as </w:t>
            </w:r>
            <w:r>
              <w:rPr>
                <w:rFonts w:ascii="Arial" w:eastAsia="SimSun" w:hAnsi="Arial" w:cs="Arial"/>
                <w:color w:val="000000"/>
                <w:sz w:val="20"/>
                <w:szCs w:val="20"/>
              </w:rPr>
              <w:t>indicators on Poverty Eradication</w:t>
            </w:r>
          </w:p>
          <w:p w:rsidR="00311D12" w:rsidRDefault="00311D12" w:rsidP="008C0A43">
            <w:pPr>
              <w:pStyle w:val="ListParagraph"/>
              <w:spacing w:before="100" w:beforeAutospacing="1" w:after="100" w:afterAutospacing="1"/>
              <w:ind w:left="360"/>
              <w:rPr>
                <w:rFonts w:ascii="Arial" w:eastAsia="SimSun" w:hAnsi="Arial" w:cs="Arial"/>
                <w:color w:val="000000"/>
                <w:sz w:val="20"/>
                <w:szCs w:val="20"/>
              </w:rPr>
            </w:pPr>
          </w:p>
          <w:p w:rsidR="00311D12" w:rsidRDefault="00311D12" w:rsidP="008C0A43">
            <w:pPr>
              <w:pStyle w:val="ListParagraph"/>
              <w:spacing w:before="100" w:beforeAutospacing="1" w:after="100" w:afterAutospacing="1"/>
              <w:ind w:left="360"/>
              <w:rPr>
                <w:rFonts w:ascii="Arial" w:eastAsia="SimSun" w:hAnsi="Arial" w:cs="Arial"/>
                <w:color w:val="000000"/>
                <w:sz w:val="20"/>
                <w:szCs w:val="20"/>
              </w:rPr>
            </w:pPr>
          </w:p>
          <w:p w:rsidR="00311D12" w:rsidRDefault="00311D12" w:rsidP="00E34C41">
            <w:pPr>
              <w:spacing w:before="100" w:beforeAutospacing="1" w:after="100" w:afterAutospacing="1"/>
              <w:rPr>
                <w:rFonts w:ascii="Arial" w:eastAsia="SimSun" w:hAnsi="Arial" w:cs="Arial"/>
                <w:color w:val="000000"/>
                <w:sz w:val="20"/>
                <w:szCs w:val="20"/>
              </w:rPr>
            </w:pPr>
          </w:p>
          <w:p w:rsidR="00311D12" w:rsidRDefault="00311D12" w:rsidP="00E34C41">
            <w:pPr>
              <w:spacing w:before="100" w:beforeAutospacing="1" w:after="100" w:afterAutospacing="1"/>
              <w:rPr>
                <w:rFonts w:ascii="Arial" w:eastAsia="SimSun" w:hAnsi="Arial" w:cs="Arial"/>
                <w:color w:val="000000"/>
                <w:sz w:val="20"/>
                <w:szCs w:val="20"/>
              </w:rPr>
            </w:pPr>
          </w:p>
          <w:p w:rsidR="00534E62" w:rsidRDefault="00534E62" w:rsidP="00E34C41">
            <w:pPr>
              <w:spacing w:before="100" w:beforeAutospacing="1" w:after="100" w:afterAutospacing="1"/>
              <w:rPr>
                <w:rFonts w:ascii="Arial" w:eastAsia="SimSun" w:hAnsi="Arial" w:cs="Arial"/>
                <w:color w:val="000000"/>
                <w:sz w:val="20"/>
                <w:szCs w:val="20"/>
              </w:rPr>
            </w:pPr>
          </w:p>
          <w:p w:rsidR="00311D12" w:rsidRDefault="00311D12" w:rsidP="00E34C41">
            <w:pPr>
              <w:spacing w:before="100" w:beforeAutospacing="1" w:after="100" w:afterAutospacing="1"/>
              <w:rPr>
                <w:rFonts w:ascii="Arial" w:eastAsia="SimSun" w:hAnsi="Arial" w:cs="Arial"/>
                <w:color w:val="000000"/>
                <w:sz w:val="20"/>
                <w:szCs w:val="20"/>
              </w:rPr>
            </w:pPr>
            <w:r>
              <w:rPr>
                <w:rFonts w:ascii="Arial" w:eastAsia="SimSun" w:hAnsi="Arial" w:cs="Arial"/>
                <w:color w:val="000000"/>
                <w:sz w:val="20"/>
                <w:szCs w:val="20"/>
              </w:rPr>
              <w:t>S</w:t>
            </w:r>
            <w:r w:rsidRPr="00E34C41">
              <w:rPr>
                <w:rFonts w:ascii="Arial" w:eastAsia="SimSun" w:hAnsi="Arial" w:cs="Arial"/>
                <w:color w:val="000000"/>
                <w:sz w:val="20"/>
                <w:szCs w:val="20"/>
              </w:rPr>
              <w:t xml:space="preserve">ame as </w:t>
            </w:r>
            <w:r>
              <w:rPr>
                <w:rFonts w:ascii="Arial" w:eastAsia="SimSun" w:hAnsi="Arial" w:cs="Arial"/>
                <w:color w:val="000000"/>
                <w:sz w:val="20"/>
                <w:szCs w:val="20"/>
              </w:rPr>
              <w:t xml:space="preserve">indicator </w:t>
            </w:r>
            <w:r w:rsidRPr="00E34C41">
              <w:rPr>
                <w:rFonts w:ascii="Arial" w:eastAsia="SimSun" w:hAnsi="Arial" w:cs="Arial"/>
                <w:color w:val="000000"/>
                <w:sz w:val="20"/>
                <w:szCs w:val="20"/>
              </w:rPr>
              <w:t>3.4.1</w:t>
            </w:r>
            <w:r>
              <w:rPr>
                <w:rFonts w:ascii="Arial" w:eastAsia="SimSun" w:hAnsi="Arial" w:cs="Arial"/>
                <w:color w:val="000000"/>
                <w:sz w:val="20"/>
                <w:szCs w:val="20"/>
              </w:rPr>
              <w:t xml:space="preserve"> on Health</w:t>
            </w:r>
          </w:p>
          <w:p w:rsidR="00311D12" w:rsidRDefault="00311D12" w:rsidP="002762C4">
            <w:pPr>
              <w:spacing w:before="100" w:beforeAutospacing="1" w:after="100" w:afterAutospacing="1"/>
              <w:rPr>
                <w:rFonts w:ascii="Arial" w:eastAsia="SimSun" w:hAnsi="Arial" w:cs="Arial"/>
                <w:color w:val="000000"/>
                <w:sz w:val="20"/>
                <w:szCs w:val="20"/>
              </w:rPr>
            </w:pPr>
          </w:p>
          <w:p w:rsidR="00311D12" w:rsidRPr="00E34C41" w:rsidRDefault="00311D12" w:rsidP="002762C4">
            <w:pPr>
              <w:spacing w:before="100" w:beforeAutospacing="1" w:after="100" w:afterAutospacing="1"/>
              <w:rPr>
                <w:rFonts w:ascii="Arial" w:hAnsi="Arial" w:cs="Arial"/>
                <w:color w:val="000000"/>
                <w:sz w:val="20"/>
                <w:szCs w:val="20"/>
                <w:lang w:val="en-GB"/>
              </w:rPr>
            </w:pPr>
            <w:r>
              <w:rPr>
                <w:rFonts w:ascii="Arial" w:eastAsia="SimSun" w:hAnsi="Arial" w:cs="Arial"/>
                <w:color w:val="000000"/>
                <w:sz w:val="20"/>
                <w:szCs w:val="20"/>
              </w:rPr>
              <w:t>S</w:t>
            </w:r>
            <w:r w:rsidRPr="00E34C41">
              <w:rPr>
                <w:rFonts w:ascii="Arial" w:eastAsia="SimSun" w:hAnsi="Arial" w:cs="Arial"/>
                <w:color w:val="000000"/>
                <w:sz w:val="20"/>
                <w:szCs w:val="20"/>
              </w:rPr>
              <w:t xml:space="preserve">ame as </w:t>
            </w:r>
            <w:r>
              <w:rPr>
                <w:rFonts w:ascii="Arial" w:eastAsia="SimSun" w:hAnsi="Arial" w:cs="Arial"/>
                <w:color w:val="000000"/>
                <w:sz w:val="20"/>
                <w:szCs w:val="20"/>
              </w:rPr>
              <w:t xml:space="preserve">indicators on wastes under  Sustainable Consumption and Production </w:t>
            </w:r>
          </w:p>
        </w:tc>
      </w:tr>
      <w:tr w:rsidR="00311D12" w:rsidRPr="009C1C09" w:rsidTr="00C56231">
        <w:trPr>
          <w:trHeight w:val="840"/>
        </w:trPr>
        <w:tc>
          <w:tcPr>
            <w:tcW w:w="14425" w:type="dxa"/>
            <w:gridSpan w:val="3"/>
            <w:tcBorders>
              <w:bottom w:val="single" w:sz="4" w:space="0" w:color="auto"/>
            </w:tcBorders>
            <w:shd w:val="clear" w:color="auto" w:fill="FFC000"/>
            <w:vAlign w:val="center"/>
          </w:tcPr>
          <w:p w:rsidR="00311D12" w:rsidRPr="00C56231" w:rsidRDefault="00311D12" w:rsidP="00C56231">
            <w:pPr>
              <w:jc w:val="center"/>
              <w:rPr>
                <w:rFonts w:ascii="Arial" w:hAnsi="Arial" w:cs="Arial"/>
                <w:color w:val="000000"/>
                <w:szCs w:val="20"/>
              </w:rPr>
            </w:pPr>
            <w:r w:rsidRPr="00C56231">
              <w:rPr>
                <w:rFonts w:ascii="Arial" w:hAnsi="Arial" w:cs="Arial"/>
                <w:b/>
                <w:bCs/>
                <w:szCs w:val="20"/>
              </w:rPr>
              <w:lastRenderedPageBreak/>
              <w:t>Proposed goal 12. Ensure sustainable consumption and production patterns</w:t>
            </w:r>
          </w:p>
        </w:tc>
      </w:tr>
      <w:tr w:rsidR="00311D12" w:rsidRPr="009C1C09" w:rsidTr="00C56231">
        <w:trPr>
          <w:trHeight w:val="2853"/>
        </w:trPr>
        <w:tc>
          <w:tcPr>
            <w:tcW w:w="5070" w:type="dxa"/>
            <w:tcBorders>
              <w:bottom w:val="single" w:sz="4" w:space="0" w:color="auto"/>
            </w:tcBorders>
          </w:tcPr>
          <w:p w:rsidR="00311D12" w:rsidRDefault="00311D12" w:rsidP="001964FF">
            <w:pPr>
              <w:rPr>
                <w:rFonts w:ascii="Arial" w:hAnsi="Arial" w:cs="Arial"/>
                <w:b/>
                <w:color w:val="000000"/>
                <w:sz w:val="20"/>
                <w:szCs w:val="20"/>
              </w:rPr>
            </w:pPr>
          </w:p>
          <w:p w:rsidR="00311D12" w:rsidRPr="00855AF8" w:rsidRDefault="00311D12" w:rsidP="005A1486">
            <w:pPr>
              <w:jc w:val="both"/>
              <w:rPr>
                <w:rFonts w:ascii="Arial" w:hAnsi="Arial" w:cs="Arial"/>
                <w:sz w:val="20"/>
                <w:szCs w:val="20"/>
              </w:rPr>
            </w:pPr>
            <w:r w:rsidRPr="00855AF8">
              <w:rPr>
                <w:rFonts w:ascii="Arial" w:hAnsi="Arial" w:cs="Arial"/>
                <w:sz w:val="20"/>
                <w:szCs w:val="20"/>
              </w:rPr>
              <w:t>12.</w:t>
            </w:r>
            <w:r>
              <w:rPr>
                <w:rFonts w:ascii="Arial" w:hAnsi="Arial" w:cs="Arial"/>
                <w:sz w:val="20"/>
                <w:szCs w:val="20"/>
              </w:rPr>
              <w:t>4</w:t>
            </w:r>
            <w:r w:rsidRPr="00855AF8">
              <w:rPr>
                <w:rFonts w:ascii="Arial" w:hAnsi="Arial" w:cs="Arial"/>
                <w:sz w:val="20"/>
                <w:szCs w:val="20"/>
              </w:rPr>
              <w:t xml:space="preserve">        by 2020 achieve environmentally sound management of chemicals and all wastes throughout their life cycle in accordance with agreed international frameworks and significantly reduce their release to air, water and soil to minimize their adverse impacts on human health and the environment </w:t>
            </w: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Pr="00855AF8"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9B29FC" w:rsidRDefault="009B29FC" w:rsidP="005A1486">
            <w:pPr>
              <w:jc w:val="both"/>
              <w:rPr>
                <w:rFonts w:ascii="Arial" w:hAnsi="Arial" w:cs="Arial"/>
                <w:sz w:val="20"/>
                <w:szCs w:val="20"/>
              </w:rPr>
            </w:pPr>
          </w:p>
          <w:p w:rsidR="00311D12" w:rsidRDefault="00311D12" w:rsidP="005A1486">
            <w:pPr>
              <w:jc w:val="both"/>
              <w:rPr>
                <w:rFonts w:ascii="Arial" w:hAnsi="Arial" w:cs="Arial"/>
                <w:sz w:val="20"/>
                <w:szCs w:val="20"/>
              </w:rPr>
            </w:pPr>
          </w:p>
          <w:p w:rsidR="00311D12" w:rsidRPr="00855AF8" w:rsidRDefault="00311D12" w:rsidP="005A1486">
            <w:pPr>
              <w:jc w:val="both"/>
              <w:rPr>
                <w:rFonts w:ascii="Arial" w:hAnsi="Arial" w:cs="Arial"/>
                <w:sz w:val="20"/>
                <w:szCs w:val="20"/>
              </w:rPr>
            </w:pPr>
            <w:r w:rsidRPr="00855AF8">
              <w:rPr>
                <w:rFonts w:ascii="Arial" w:hAnsi="Arial" w:cs="Arial"/>
                <w:sz w:val="20"/>
                <w:szCs w:val="20"/>
              </w:rPr>
              <w:t>12.5        by 2030, substantially reduce waste generation through prevention, reduction, recycling, and reuse</w:t>
            </w:r>
          </w:p>
          <w:p w:rsidR="00311D12" w:rsidRPr="009C1C09" w:rsidRDefault="00311D12" w:rsidP="001964FF">
            <w:pPr>
              <w:rPr>
                <w:rFonts w:ascii="Arial" w:hAnsi="Arial" w:cs="Arial"/>
                <w:b/>
                <w:color w:val="000000"/>
                <w:sz w:val="20"/>
                <w:szCs w:val="20"/>
              </w:rPr>
            </w:pPr>
          </w:p>
        </w:tc>
        <w:tc>
          <w:tcPr>
            <w:tcW w:w="7371" w:type="dxa"/>
            <w:tcBorders>
              <w:bottom w:val="single" w:sz="4" w:space="0" w:color="auto"/>
            </w:tcBorders>
          </w:tcPr>
          <w:p w:rsidR="00311D12" w:rsidRDefault="00311D12" w:rsidP="00C56231">
            <w:pPr>
              <w:rPr>
                <w:rFonts w:ascii="Arial" w:hAnsi="Arial" w:cs="Arial"/>
                <w:color w:val="000000"/>
                <w:sz w:val="20"/>
                <w:szCs w:val="20"/>
              </w:rPr>
            </w:pPr>
          </w:p>
          <w:p w:rsidR="00311D12" w:rsidRPr="00534E62" w:rsidRDefault="00311D12" w:rsidP="00C56231">
            <w:pPr>
              <w:rPr>
                <w:rFonts w:ascii="Arial" w:hAnsi="Arial" w:cs="Arial"/>
                <w:b/>
                <w:color w:val="0070C0"/>
                <w:sz w:val="20"/>
                <w:szCs w:val="20"/>
              </w:rPr>
            </w:pPr>
            <w:r w:rsidRPr="00534E62">
              <w:rPr>
                <w:rFonts w:ascii="Arial" w:hAnsi="Arial" w:cs="Arial"/>
                <w:b/>
                <w:color w:val="0070C0"/>
                <w:sz w:val="20"/>
                <w:szCs w:val="20"/>
              </w:rPr>
              <w:t>12.4.1 Number of Parties to international multilateral environmental agreements on hazardous chemicals and waste such as the Basel, Rotterdam and Stockholm Conventions, the ILO Chemicals Conventions, the International Health Regulations and the Minamata Convention</w:t>
            </w:r>
          </w:p>
          <w:p w:rsidR="00311D12" w:rsidRPr="00534E62" w:rsidRDefault="00311D12" w:rsidP="00306060">
            <w:pPr>
              <w:spacing w:before="100" w:beforeAutospacing="1" w:after="100" w:afterAutospacing="1"/>
              <w:rPr>
                <w:rFonts w:ascii="Arial" w:hAnsi="Arial" w:cs="Arial"/>
                <w:b/>
                <w:color w:val="0070C0"/>
                <w:sz w:val="20"/>
                <w:szCs w:val="20"/>
              </w:rPr>
            </w:pPr>
            <w:r w:rsidRPr="00534E62">
              <w:rPr>
                <w:rFonts w:ascii="Arial" w:hAnsi="Arial" w:cs="Arial"/>
                <w:b/>
                <w:color w:val="0070C0"/>
                <w:sz w:val="20"/>
                <w:szCs w:val="20"/>
              </w:rPr>
              <w:t>12.4.2 Number of national reports on the implementation of relevant multilateral environmental agreements on hazardous chemicals and waste</w:t>
            </w:r>
          </w:p>
          <w:p w:rsidR="00311D12" w:rsidRPr="00534E62" w:rsidRDefault="00311D12" w:rsidP="00306060">
            <w:pPr>
              <w:spacing w:before="100" w:beforeAutospacing="1" w:after="100" w:afterAutospacing="1"/>
              <w:rPr>
                <w:rFonts w:ascii="Arial" w:hAnsi="Arial" w:cs="Arial"/>
                <w:b/>
                <w:color w:val="0070C0"/>
                <w:sz w:val="20"/>
                <w:szCs w:val="20"/>
              </w:rPr>
            </w:pPr>
            <w:r w:rsidRPr="00534E62">
              <w:rPr>
                <w:rFonts w:ascii="Arial" w:hAnsi="Arial" w:cs="Arial"/>
                <w:b/>
                <w:color w:val="0070C0"/>
                <w:sz w:val="20"/>
                <w:szCs w:val="20"/>
              </w:rPr>
              <w:t>12.4.3 Number of countries with institutional, legal, and regulatory frameworks for the sound management of chemicals and waste, including enforcement of national legislation and prevention of illegal traffic</w:t>
            </w:r>
          </w:p>
          <w:p w:rsidR="00311D12" w:rsidRPr="00306060" w:rsidRDefault="00311D12" w:rsidP="00306060">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12.4.4 </w:t>
            </w:r>
            <w:r w:rsidRPr="00306060">
              <w:rPr>
                <w:rFonts w:ascii="Arial" w:hAnsi="Arial" w:cs="Arial"/>
                <w:sz w:val="20"/>
                <w:szCs w:val="20"/>
              </w:rPr>
              <w:t>Number of countries with multi-sectoral and multi-stakeholder coordination mechanisms in place for a coordinated implementation of chemicals and wastes conventions and SAICM</w:t>
            </w:r>
          </w:p>
          <w:p w:rsidR="00311D12" w:rsidRDefault="00311D12" w:rsidP="00306060">
            <w:pPr>
              <w:pStyle w:val="ListParagraph"/>
              <w:numPr>
                <w:ilvl w:val="2"/>
                <w:numId w:val="18"/>
              </w:numPr>
              <w:spacing w:before="100" w:beforeAutospacing="1" w:after="100" w:afterAutospacing="1"/>
              <w:ind w:left="33"/>
              <w:rPr>
                <w:rFonts w:ascii="Arial" w:hAnsi="Arial" w:cs="Arial"/>
                <w:color w:val="000000"/>
                <w:sz w:val="20"/>
                <w:szCs w:val="20"/>
              </w:rPr>
            </w:pPr>
            <w:r>
              <w:rPr>
                <w:rFonts w:ascii="Arial" w:hAnsi="Arial" w:cs="Arial"/>
                <w:color w:val="000000"/>
                <w:sz w:val="20"/>
                <w:szCs w:val="20"/>
              </w:rPr>
              <w:t xml:space="preserve">12.4.5 </w:t>
            </w:r>
            <w:r w:rsidRPr="00306060">
              <w:rPr>
                <w:rFonts w:ascii="Arial" w:hAnsi="Arial" w:cs="Arial"/>
                <w:sz w:val="20"/>
                <w:szCs w:val="20"/>
              </w:rPr>
              <w:t>Number of countries</w:t>
            </w:r>
            <w:r w:rsidRPr="00306060">
              <w:rPr>
                <w:rFonts w:ascii="Arial" w:hAnsi="Arial" w:cs="Arial"/>
                <w:color w:val="000000"/>
                <w:sz w:val="20"/>
                <w:szCs w:val="20"/>
              </w:rPr>
              <w:t xml:space="preserve"> that have adopted a full policy chain of instruments and approaches that stretch across the lifecycle from the entry of chemicals into the market to the management of chemicals at their disposal</w:t>
            </w:r>
          </w:p>
          <w:p w:rsidR="00311D12" w:rsidRPr="0089703F" w:rsidRDefault="00311D12" w:rsidP="00306060">
            <w:pPr>
              <w:spacing w:before="100" w:beforeAutospacing="1" w:after="100" w:afterAutospacing="1"/>
              <w:rPr>
                <w:rFonts w:ascii="Arial" w:hAnsi="Arial" w:cs="Arial"/>
                <w:b/>
                <w:color w:val="0070C0"/>
                <w:sz w:val="20"/>
                <w:szCs w:val="20"/>
              </w:rPr>
            </w:pPr>
            <w:r w:rsidRPr="0089703F">
              <w:rPr>
                <w:rFonts w:ascii="Arial" w:hAnsi="Arial" w:cs="Arial"/>
                <w:b/>
                <w:color w:val="0070C0"/>
                <w:sz w:val="20"/>
                <w:szCs w:val="20"/>
              </w:rPr>
              <w:t>12.4.6 Investments (in monetary terms)  in research and development to promote green product design and safer alternatives, including non-chemical alternatives</w:t>
            </w:r>
          </w:p>
          <w:p w:rsidR="00311D12" w:rsidRPr="0089703F" w:rsidRDefault="00311D12" w:rsidP="00A57406">
            <w:pPr>
              <w:spacing w:before="100" w:beforeAutospacing="1" w:after="100" w:afterAutospacing="1"/>
              <w:rPr>
                <w:rFonts w:ascii="Arial" w:hAnsi="Arial" w:cs="Arial"/>
                <w:b/>
                <w:color w:val="0070C0"/>
                <w:sz w:val="20"/>
                <w:szCs w:val="20"/>
              </w:rPr>
            </w:pPr>
            <w:r w:rsidRPr="0089703F">
              <w:rPr>
                <w:rFonts w:ascii="Arial" w:hAnsi="Arial" w:cs="Arial"/>
                <w:b/>
                <w:color w:val="0070C0"/>
                <w:sz w:val="20"/>
                <w:szCs w:val="20"/>
              </w:rPr>
              <w:t xml:space="preserve">12.4.7 Number of countries that developed sound chemicals management corporate policies and practices throughout the value chain, including </w:t>
            </w:r>
            <w:r w:rsidRPr="0089703F">
              <w:rPr>
                <w:rFonts w:ascii="Arial" w:hAnsi="Arial" w:cs="Arial"/>
                <w:b/>
                <w:color w:val="0070C0"/>
                <w:sz w:val="20"/>
                <w:szCs w:val="20"/>
              </w:rPr>
              <w:lastRenderedPageBreak/>
              <w:t xml:space="preserve">extended producer responsibility, communication about chemical hazards and risks both for chemicals and chemicals in products as well as the promotion of green design and BAT/BEP. </w:t>
            </w:r>
          </w:p>
          <w:p w:rsidR="00311D12" w:rsidRPr="0089703F" w:rsidRDefault="00311D12" w:rsidP="00A57406">
            <w:pPr>
              <w:spacing w:before="100" w:beforeAutospacing="1" w:after="100" w:afterAutospacing="1"/>
              <w:rPr>
                <w:rFonts w:ascii="Arial" w:hAnsi="Arial" w:cs="Arial"/>
                <w:b/>
                <w:color w:val="0070C0"/>
                <w:sz w:val="20"/>
                <w:szCs w:val="20"/>
              </w:rPr>
            </w:pPr>
            <w:r w:rsidRPr="0089703F">
              <w:rPr>
                <w:rFonts w:ascii="Arial" w:hAnsi="Arial" w:cs="Arial"/>
                <w:b/>
                <w:color w:val="0070C0"/>
                <w:sz w:val="20"/>
                <w:szCs w:val="20"/>
              </w:rPr>
              <w:t>12.4.8 Number of regulations and financial incentives developed to reduce the use of chemicals of highest concerns and to promote and substitute with safer alternatives</w:t>
            </w:r>
          </w:p>
          <w:p w:rsidR="00311D12" w:rsidRDefault="00311D12" w:rsidP="00306060">
            <w:pPr>
              <w:rPr>
                <w:rFonts w:ascii="Arial" w:hAnsi="Arial" w:cs="Arial"/>
                <w:color w:val="000000"/>
                <w:sz w:val="20"/>
                <w:szCs w:val="20"/>
              </w:rPr>
            </w:pPr>
          </w:p>
          <w:p w:rsidR="00311D12" w:rsidRDefault="00311D12" w:rsidP="00306060">
            <w:pPr>
              <w:rPr>
                <w:rFonts w:ascii="Arial" w:hAnsi="Arial" w:cs="Arial"/>
                <w:color w:val="000000"/>
                <w:sz w:val="20"/>
                <w:szCs w:val="20"/>
              </w:rPr>
            </w:pPr>
          </w:p>
          <w:p w:rsidR="00311D12" w:rsidRPr="00534E62" w:rsidRDefault="00311D12" w:rsidP="00306060">
            <w:pPr>
              <w:rPr>
                <w:rFonts w:ascii="Arial" w:hAnsi="Arial" w:cs="Arial"/>
                <w:b/>
                <w:color w:val="0070C0"/>
                <w:sz w:val="20"/>
                <w:szCs w:val="20"/>
              </w:rPr>
            </w:pPr>
            <w:r w:rsidRPr="00534E62">
              <w:rPr>
                <w:rFonts w:ascii="Arial" w:hAnsi="Arial" w:cs="Arial"/>
                <w:b/>
                <w:color w:val="0070C0"/>
                <w:sz w:val="20"/>
                <w:szCs w:val="20"/>
              </w:rPr>
              <w:t xml:space="preserve">12.5.1.Waste generation rates (kg per capita/year, overall and by economic sector)  </w:t>
            </w:r>
          </w:p>
          <w:p w:rsidR="00311D12" w:rsidRPr="00534E62" w:rsidRDefault="00311D12" w:rsidP="00306060">
            <w:pPr>
              <w:rPr>
                <w:rFonts w:ascii="Arial" w:hAnsi="Arial" w:cs="Arial"/>
                <w:b/>
                <w:color w:val="0070C0"/>
                <w:sz w:val="20"/>
                <w:szCs w:val="20"/>
              </w:rPr>
            </w:pPr>
          </w:p>
          <w:p w:rsidR="00534E62" w:rsidRPr="0089703F" w:rsidRDefault="00311D12" w:rsidP="00534E62">
            <w:pPr>
              <w:pStyle w:val="ListParagraph"/>
              <w:spacing w:before="100" w:beforeAutospacing="1" w:after="100" w:afterAutospacing="1"/>
              <w:ind w:left="33"/>
              <w:contextualSpacing w:val="0"/>
              <w:rPr>
                <w:rFonts w:ascii="Arial" w:hAnsi="Arial" w:cs="Arial"/>
                <w:b/>
                <w:color w:val="0070C0"/>
                <w:sz w:val="20"/>
                <w:szCs w:val="20"/>
              </w:rPr>
            </w:pPr>
            <w:r w:rsidRPr="00534E62">
              <w:rPr>
                <w:rFonts w:ascii="Arial" w:hAnsi="Arial" w:cs="Arial"/>
                <w:b/>
                <w:color w:val="0070C0"/>
                <w:sz w:val="20"/>
                <w:szCs w:val="20"/>
              </w:rPr>
              <w:t xml:space="preserve">12.5.2 </w:t>
            </w:r>
            <w:r w:rsidR="00534E62" w:rsidRPr="0089703F">
              <w:rPr>
                <w:rFonts w:ascii="Arial" w:hAnsi="Arial" w:cs="Arial"/>
                <w:b/>
                <w:color w:val="0070C0"/>
                <w:sz w:val="20"/>
                <w:szCs w:val="20"/>
              </w:rPr>
              <w:t>Percentage of hazardous wastes and other wastes, including obsolete stockpiles of pesticides</w:t>
            </w:r>
            <w:r w:rsidR="00534E62">
              <w:rPr>
                <w:rFonts w:ascii="Arial" w:hAnsi="Arial" w:cs="Arial"/>
                <w:b/>
                <w:color w:val="0070C0"/>
                <w:sz w:val="20"/>
                <w:szCs w:val="20"/>
              </w:rPr>
              <w:t>,</w:t>
            </w:r>
            <w:r w:rsidR="00534E62" w:rsidRPr="00534E62">
              <w:rPr>
                <w:rFonts w:ascii="Arial" w:hAnsi="Arial" w:cs="Arial"/>
                <w:b/>
                <w:color w:val="0070C0"/>
                <w:sz w:val="20"/>
                <w:szCs w:val="20"/>
              </w:rPr>
              <w:t xml:space="preserve"> recovered, reused and recycled, including for energy generation</w:t>
            </w:r>
          </w:p>
          <w:p w:rsidR="00311D12" w:rsidRPr="009C1C09" w:rsidRDefault="00311D12" w:rsidP="00534E62">
            <w:pPr>
              <w:pStyle w:val="ListParagraph"/>
              <w:tabs>
                <w:tab w:val="center" w:pos="4513"/>
                <w:tab w:val="right" w:pos="9026"/>
              </w:tabs>
              <w:spacing w:before="100" w:beforeAutospacing="1" w:after="100" w:afterAutospacing="1"/>
              <w:ind w:left="33"/>
              <w:contextualSpacing w:val="0"/>
              <w:rPr>
                <w:rFonts w:ascii="Arial" w:hAnsi="Arial" w:cs="Arial"/>
                <w:color w:val="000000"/>
                <w:sz w:val="20"/>
                <w:szCs w:val="20"/>
              </w:rPr>
            </w:pPr>
            <w:r w:rsidRPr="00534E62">
              <w:rPr>
                <w:rFonts w:ascii="Arial" w:hAnsi="Arial" w:cs="Arial"/>
                <w:b/>
                <w:color w:val="0070C0"/>
                <w:sz w:val="20"/>
                <w:szCs w:val="20"/>
              </w:rPr>
              <w:t>12.5.</w:t>
            </w:r>
            <w:r w:rsidR="00534E62">
              <w:rPr>
                <w:rFonts w:ascii="Arial" w:hAnsi="Arial" w:cs="Arial"/>
                <w:b/>
                <w:color w:val="0070C0"/>
                <w:sz w:val="20"/>
                <w:szCs w:val="20"/>
              </w:rPr>
              <w:t>3</w:t>
            </w:r>
            <w:r w:rsidRPr="00534E62">
              <w:rPr>
                <w:rFonts w:ascii="Arial" w:hAnsi="Arial" w:cs="Arial"/>
                <w:b/>
                <w:color w:val="0070C0"/>
                <w:sz w:val="20"/>
                <w:szCs w:val="20"/>
              </w:rPr>
              <w:t xml:space="preserve"> Number of facilities for environmentally sound management of hazardous waste</w:t>
            </w:r>
          </w:p>
        </w:tc>
        <w:tc>
          <w:tcPr>
            <w:tcW w:w="1984" w:type="dxa"/>
            <w:tcBorders>
              <w:bottom w:val="single" w:sz="4" w:space="0" w:color="auto"/>
            </w:tcBorders>
          </w:tcPr>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Default="00311D12" w:rsidP="00574A50">
            <w:pPr>
              <w:spacing w:before="100" w:beforeAutospacing="1" w:after="100" w:afterAutospacing="1"/>
              <w:rPr>
                <w:rFonts w:ascii="Arial" w:hAnsi="Arial" w:cs="Arial"/>
                <w:color w:val="000000"/>
                <w:sz w:val="20"/>
                <w:szCs w:val="20"/>
              </w:rPr>
            </w:pPr>
          </w:p>
          <w:p w:rsidR="00311D12" w:rsidRPr="0089703F" w:rsidRDefault="00311D12" w:rsidP="00574A50">
            <w:pPr>
              <w:spacing w:before="100" w:beforeAutospacing="1" w:after="100" w:afterAutospacing="1"/>
              <w:rPr>
                <w:rFonts w:ascii="Arial" w:hAnsi="Arial" w:cs="Arial"/>
                <w:sz w:val="20"/>
                <w:szCs w:val="20"/>
              </w:rPr>
            </w:pPr>
            <w:r w:rsidRPr="0089703F">
              <w:rPr>
                <w:rFonts w:ascii="Arial" w:hAnsi="Arial" w:cs="Arial"/>
                <w:sz w:val="20"/>
                <w:szCs w:val="20"/>
              </w:rPr>
              <w:t xml:space="preserve">Same as the </w:t>
            </w:r>
            <w:r w:rsidR="0089703F" w:rsidRPr="0089703F">
              <w:rPr>
                <w:rFonts w:ascii="Arial" w:hAnsi="Arial" w:cs="Arial"/>
                <w:sz w:val="20"/>
                <w:szCs w:val="20"/>
              </w:rPr>
              <w:t xml:space="preserve">9.4.1 and 9.4.2  </w:t>
            </w:r>
            <w:r w:rsidRPr="0089703F">
              <w:rPr>
                <w:rFonts w:ascii="Arial" w:hAnsi="Arial" w:cs="Arial"/>
                <w:sz w:val="20"/>
                <w:szCs w:val="20"/>
              </w:rPr>
              <w:t xml:space="preserve">under </w:t>
            </w:r>
            <w:r w:rsidR="0089703F" w:rsidRPr="0089703F">
              <w:rPr>
                <w:rFonts w:ascii="Arial" w:hAnsi="Arial" w:cs="Arial"/>
                <w:sz w:val="20"/>
                <w:szCs w:val="20"/>
              </w:rPr>
              <w:t>Industrialization</w:t>
            </w:r>
            <w:r w:rsidRPr="0089703F">
              <w:rPr>
                <w:rFonts w:ascii="Arial" w:hAnsi="Arial" w:cs="Arial"/>
                <w:sz w:val="20"/>
                <w:szCs w:val="20"/>
              </w:rPr>
              <w:t xml:space="preserve">  </w:t>
            </w:r>
          </w:p>
          <w:p w:rsidR="00311D12" w:rsidRPr="009C1C09" w:rsidRDefault="00311D12" w:rsidP="00306060">
            <w:pPr>
              <w:pStyle w:val="ListParagraph"/>
              <w:spacing w:before="100" w:beforeAutospacing="1" w:after="100" w:afterAutospacing="1"/>
              <w:ind w:left="360"/>
              <w:rPr>
                <w:rFonts w:ascii="Arial" w:hAnsi="Arial" w:cs="Arial"/>
                <w:color w:val="000000"/>
                <w:sz w:val="20"/>
                <w:szCs w:val="20"/>
              </w:rPr>
            </w:pPr>
          </w:p>
        </w:tc>
      </w:tr>
      <w:tr w:rsidR="00311D12" w:rsidRPr="009C1C09" w:rsidTr="00C56231">
        <w:trPr>
          <w:trHeight w:val="891"/>
        </w:trPr>
        <w:tc>
          <w:tcPr>
            <w:tcW w:w="14425" w:type="dxa"/>
            <w:gridSpan w:val="3"/>
            <w:tcBorders>
              <w:bottom w:val="single" w:sz="4" w:space="0" w:color="auto"/>
            </w:tcBorders>
            <w:shd w:val="clear" w:color="auto" w:fill="FFC000"/>
            <w:vAlign w:val="center"/>
          </w:tcPr>
          <w:p w:rsidR="00311D12" w:rsidRPr="00C56231" w:rsidRDefault="00311D12" w:rsidP="00C56231">
            <w:pPr>
              <w:jc w:val="center"/>
              <w:rPr>
                <w:rFonts w:ascii="Arial" w:hAnsi="Arial" w:cs="Arial"/>
                <w:color w:val="000000"/>
                <w:szCs w:val="20"/>
              </w:rPr>
            </w:pPr>
            <w:r w:rsidRPr="00C56231">
              <w:rPr>
                <w:rFonts w:ascii="Arial" w:hAnsi="Arial" w:cs="Arial"/>
                <w:b/>
                <w:color w:val="000000"/>
                <w:szCs w:val="20"/>
              </w:rPr>
              <w:lastRenderedPageBreak/>
              <w:t>Proposed goal 14. Conserve and sustainably use the oceans, seas and marine resources for sustainable development</w:t>
            </w:r>
          </w:p>
        </w:tc>
      </w:tr>
      <w:tr w:rsidR="00311D12" w:rsidRPr="009C1C09" w:rsidTr="00C56231">
        <w:trPr>
          <w:trHeight w:val="2853"/>
        </w:trPr>
        <w:tc>
          <w:tcPr>
            <w:tcW w:w="5070" w:type="dxa"/>
            <w:tcBorders>
              <w:bottom w:val="single" w:sz="4" w:space="0" w:color="auto"/>
            </w:tcBorders>
          </w:tcPr>
          <w:p w:rsidR="00311D12" w:rsidRDefault="00311D12" w:rsidP="00084187">
            <w:pPr>
              <w:rPr>
                <w:rFonts w:ascii="Arial" w:hAnsi="Arial" w:cs="Arial"/>
                <w:color w:val="000000"/>
                <w:sz w:val="20"/>
                <w:szCs w:val="20"/>
              </w:rPr>
            </w:pPr>
          </w:p>
          <w:p w:rsidR="00311D12" w:rsidRPr="00084187" w:rsidRDefault="00311D12" w:rsidP="00084187">
            <w:pPr>
              <w:rPr>
                <w:rFonts w:ascii="Arial" w:hAnsi="Arial" w:cs="Arial"/>
                <w:color w:val="000000"/>
                <w:sz w:val="20"/>
                <w:szCs w:val="20"/>
              </w:rPr>
            </w:pPr>
            <w:r w:rsidRPr="00084187">
              <w:rPr>
                <w:rFonts w:ascii="Arial" w:hAnsi="Arial" w:cs="Arial"/>
                <w:color w:val="000000"/>
                <w:sz w:val="20"/>
                <w:szCs w:val="20"/>
              </w:rPr>
              <w:t>14.1</w:t>
            </w:r>
            <w:r w:rsidRPr="00084187">
              <w:rPr>
                <w:rFonts w:ascii="Arial" w:hAnsi="Arial" w:cs="Arial"/>
                <w:color w:val="000000"/>
                <w:sz w:val="20"/>
                <w:szCs w:val="20"/>
              </w:rPr>
              <w:tab/>
              <w:t>by 2025, prevent and significantly reduce marine pollution of all kinds, particularly from land-based activities, including marine debris and nutrient pollution</w:t>
            </w:r>
          </w:p>
        </w:tc>
        <w:tc>
          <w:tcPr>
            <w:tcW w:w="7371" w:type="dxa"/>
            <w:tcBorders>
              <w:bottom w:val="single" w:sz="4" w:space="0" w:color="auto"/>
            </w:tcBorders>
          </w:tcPr>
          <w:p w:rsidR="00311D12" w:rsidRPr="0089703F" w:rsidRDefault="00311D12" w:rsidP="00F4357D">
            <w:pPr>
              <w:pStyle w:val="ListParagraph"/>
              <w:spacing w:before="100" w:beforeAutospacing="1" w:after="100" w:afterAutospacing="1"/>
              <w:ind w:left="175"/>
              <w:rPr>
                <w:rFonts w:ascii="Arial" w:hAnsi="Arial" w:cs="Arial"/>
                <w:b/>
                <w:color w:val="0070C0"/>
                <w:sz w:val="20"/>
                <w:szCs w:val="20"/>
              </w:rPr>
            </w:pPr>
            <w:r w:rsidRPr="0089703F">
              <w:rPr>
                <w:rFonts w:ascii="Arial" w:hAnsi="Arial" w:cs="Arial"/>
                <w:b/>
                <w:color w:val="0070C0"/>
                <w:sz w:val="20"/>
                <w:szCs w:val="20"/>
              </w:rPr>
              <w:t>14.1.1 Proportion of industrial and point source agricultural wastewater flows not collected in public systems that is treated to national standards.</w:t>
            </w:r>
          </w:p>
          <w:p w:rsidR="00311D12" w:rsidRPr="0089703F" w:rsidRDefault="00311D12" w:rsidP="00F4357D">
            <w:pPr>
              <w:pStyle w:val="ListParagraph"/>
              <w:spacing w:before="100" w:beforeAutospacing="1" w:after="200" w:afterAutospacing="1"/>
              <w:ind w:left="175"/>
              <w:rPr>
                <w:rFonts w:ascii="Arial" w:hAnsi="Arial" w:cs="Arial"/>
                <w:b/>
                <w:color w:val="0070C0"/>
                <w:sz w:val="20"/>
                <w:szCs w:val="20"/>
              </w:rPr>
            </w:pPr>
          </w:p>
          <w:p w:rsidR="00311D12" w:rsidRPr="0089703F" w:rsidRDefault="00311D12" w:rsidP="00F4357D">
            <w:pPr>
              <w:pStyle w:val="ListParagraph"/>
              <w:spacing w:before="100" w:beforeAutospacing="1" w:after="200" w:afterAutospacing="1"/>
              <w:ind w:left="175"/>
              <w:rPr>
                <w:rFonts w:ascii="Arial" w:hAnsi="Arial" w:cs="Arial"/>
                <w:b/>
                <w:color w:val="0070C0"/>
                <w:sz w:val="20"/>
                <w:szCs w:val="20"/>
              </w:rPr>
            </w:pPr>
            <w:r w:rsidRPr="0089703F">
              <w:rPr>
                <w:rFonts w:ascii="Arial" w:hAnsi="Arial" w:cs="Arial"/>
                <w:b/>
                <w:color w:val="0070C0"/>
                <w:sz w:val="20"/>
                <w:szCs w:val="20"/>
              </w:rPr>
              <w:t xml:space="preserve">14.1.2 Proportion of the flows of treated municipal wastewater that are directly and safely reused </w:t>
            </w:r>
          </w:p>
          <w:p w:rsidR="00311D12" w:rsidRPr="0089703F" w:rsidRDefault="00311D12" w:rsidP="00F4357D">
            <w:pPr>
              <w:pStyle w:val="ListParagraph"/>
              <w:spacing w:before="100" w:beforeAutospacing="1" w:after="200" w:afterAutospacing="1"/>
              <w:ind w:left="175"/>
              <w:rPr>
                <w:rFonts w:ascii="Arial" w:hAnsi="Arial" w:cs="Arial"/>
                <w:b/>
                <w:color w:val="0070C0"/>
                <w:sz w:val="20"/>
                <w:szCs w:val="20"/>
              </w:rPr>
            </w:pPr>
          </w:p>
          <w:p w:rsidR="00311D12" w:rsidRPr="0089703F" w:rsidRDefault="00311D12" w:rsidP="00F4357D">
            <w:pPr>
              <w:pStyle w:val="ListParagraph"/>
              <w:spacing w:before="100" w:beforeAutospacing="1" w:after="200" w:afterAutospacing="1"/>
              <w:ind w:left="175"/>
              <w:rPr>
                <w:rFonts w:ascii="Arial" w:hAnsi="Arial" w:cs="Arial"/>
                <w:b/>
                <w:color w:val="0070C0"/>
                <w:sz w:val="20"/>
                <w:szCs w:val="20"/>
              </w:rPr>
            </w:pPr>
            <w:r w:rsidRPr="0089703F">
              <w:rPr>
                <w:rFonts w:ascii="Arial" w:hAnsi="Arial" w:cs="Arial"/>
                <w:b/>
                <w:color w:val="0070C0"/>
                <w:sz w:val="20"/>
                <w:szCs w:val="20"/>
              </w:rPr>
              <w:t>14.1.3 Proportion of the flows discharged by industrial waste water treatment plants that are safely re-used. (This indicator does not include water directly re-used without leaving the factory)</w:t>
            </w:r>
          </w:p>
          <w:p w:rsidR="00311D12" w:rsidRPr="0089703F" w:rsidRDefault="00311D12" w:rsidP="00F4357D">
            <w:pPr>
              <w:pStyle w:val="ListParagraph"/>
              <w:spacing w:before="100" w:beforeAutospacing="1" w:after="100" w:afterAutospacing="1"/>
              <w:ind w:left="175"/>
              <w:rPr>
                <w:rFonts w:ascii="Arial" w:hAnsi="Arial" w:cs="Arial"/>
                <w:b/>
                <w:color w:val="0070C0"/>
                <w:sz w:val="20"/>
                <w:szCs w:val="20"/>
              </w:rPr>
            </w:pPr>
          </w:p>
          <w:p w:rsidR="00311D12" w:rsidRDefault="00311D12" w:rsidP="00F4357D">
            <w:pPr>
              <w:pStyle w:val="ListParagraph"/>
              <w:spacing w:before="100" w:beforeAutospacing="1" w:after="100" w:afterAutospacing="1"/>
              <w:ind w:left="175"/>
              <w:rPr>
                <w:rFonts w:ascii="Arial" w:hAnsi="Arial" w:cs="Arial"/>
                <w:b/>
                <w:color w:val="0070C0"/>
                <w:sz w:val="20"/>
                <w:szCs w:val="20"/>
              </w:rPr>
            </w:pPr>
            <w:r w:rsidRPr="0089703F">
              <w:rPr>
                <w:rFonts w:ascii="Arial" w:hAnsi="Arial" w:cs="Arial"/>
                <w:b/>
                <w:color w:val="0070C0"/>
                <w:sz w:val="20"/>
                <w:szCs w:val="20"/>
              </w:rPr>
              <w:t>14.1.4 Proportion of receiving water bodies meeting water quality standards (nitrogen &amp; phosphorous as a minimum)</w:t>
            </w:r>
          </w:p>
          <w:p w:rsidR="0089703F" w:rsidRPr="0089703F" w:rsidRDefault="0089703F" w:rsidP="00F4357D">
            <w:pPr>
              <w:pStyle w:val="ListParagraph"/>
              <w:spacing w:before="100" w:beforeAutospacing="1" w:after="100" w:afterAutospacing="1"/>
              <w:ind w:left="175"/>
              <w:rPr>
                <w:rFonts w:ascii="Arial" w:hAnsi="Arial" w:cs="Arial"/>
                <w:b/>
                <w:color w:val="0070C0"/>
                <w:sz w:val="20"/>
                <w:szCs w:val="20"/>
              </w:rPr>
            </w:pPr>
          </w:p>
          <w:p w:rsidR="00311D12" w:rsidRPr="009C1C09" w:rsidRDefault="00311D12" w:rsidP="0089703F">
            <w:pPr>
              <w:pStyle w:val="ListParagraph"/>
              <w:spacing w:before="100" w:beforeAutospacing="1" w:after="100" w:afterAutospacing="1"/>
              <w:ind w:left="175"/>
              <w:rPr>
                <w:rFonts w:ascii="Arial" w:hAnsi="Arial" w:cs="Arial"/>
                <w:color w:val="000000"/>
                <w:sz w:val="20"/>
                <w:szCs w:val="20"/>
              </w:rPr>
            </w:pPr>
            <w:r w:rsidRPr="0089703F">
              <w:rPr>
                <w:rFonts w:ascii="Arial" w:hAnsi="Arial" w:cs="Arial"/>
                <w:sz w:val="20"/>
                <w:szCs w:val="20"/>
              </w:rPr>
              <w:t>14.1.5 Quantities of plastics and other wastes entrained in ocean gyres</w:t>
            </w:r>
          </w:p>
        </w:tc>
        <w:tc>
          <w:tcPr>
            <w:tcW w:w="1984" w:type="dxa"/>
            <w:tcBorders>
              <w:bottom w:val="single" w:sz="4" w:space="0" w:color="auto"/>
            </w:tcBorders>
          </w:tcPr>
          <w:p w:rsidR="00311D12" w:rsidRDefault="00311D12" w:rsidP="00F4357D">
            <w:pPr>
              <w:spacing w:before="100" w:beforeAutospacing="1" w:after="100" w:afterAutospacing="1"/>
              <w:rPr>
                <w:rFonts w:ascii="Arial" w:hAnsi="Arial" w:cs="Arial"/>
                <w:color w:val="000000"/>
                <w:sz w:val="20"/>
                <w:szCs w:val="20"/>
              </w:rPr>
            </w:pPr>
          </w:p>
          <w:p w:rsidR="00311D12" w:rsidRPr="00F4357D" w:rsidRDefault="00311D12" w:rsidP="00F4357D">
            <w:pPr>
              <w:spacing w:before="100" w:beforeAutospacing="1" w:after="100" w:afterAutospacing="1"/>
              <w:rPr>
                <w:rFonts w:ascii="Arial" w:hAnsi="Arial" w:cs="Arial"/>
                <w:color w:val="000000"/>
                <w:sz w:val="20"/>
                <w:szCs w:val="20"/>
              </w:rPr>
            </w:pPr>
            <w:r>
              <w:rPr>
                <w:rFonts w:ascii="Arial" w:hAnsi="Arial" w:cs="Arial"/>
                <w:color w:val="000000"/>
                <w:sz w:val="20"/>
                <w:szCs w:val="20"/>
              </w:rPr>
              <w:t>Same as the indicators on water</w:t>
            </w:r>
          </w:p>
        </w:tc>
      </w:tr>
      <w:tr w:rsidR="00311D12" w:rsidRPr="00C56231" w:rsidTr="00C56231">
        <w:trPr>
          <w:trHeight w:val="874"/>
        </w:trPr>
        <w:tc>
          <w:tcPr>
            <w:tcW w:w="14425" w:type="dxa"/>
            <w:gridSpan w:val="3"/>
            <w:tcBorders>
              <w:bottom w:val="single" w:sz="4" w:space="0" w:color="auto"/>
            </w:tcBorders>
            <w:shd w:val="clear" w:color="auto" w:fill="FFC000"/>
          </w:tcPr>
          <w:p w:rsidR="00311D12" w:rsidRDefault="00311D12" w:rsidP="00C56231">
            <w:pPr>
              <w:jc w:val="center"/>
              <w:rPr>
                <w:rFonts w:ascii="Arial" w:hAnsi="Arial" w:cs="Arial"/>
                <w:b/>
                <w:color w:val="000000"/>
                <w:szCs w:val="20"/>
              </w:rPr>
            </w:pPr>
          </w:p>
          <w:p w:rsidR="00311D12" w:rsidRDefault="00311D12" w:rsidP="00C56231">
            <w:pPr>
              <w:jc w:val="center"/>
              <w:rPr>
                <w:rFonts w:ascii="Arial" w:hAnsi="Arial" w:cs="Arial"/>
                <w:b/>
                <w:color w:val="000000"/>
                <w:szCs w:val="20"/>
              </w:rPr>
            </w:pPr>
            <w:r w:rsidRPr="00C56231">
              <w:rPr>
                <w:rFonts w:ascii="Arial" w:hAnsi="Arial" w:cs="Arial"/>
                <w:b/>
                <w:color w:val="000000"/>
                <w:szCs w:val="20"/>
              </w:rPr>
              <w:t>Proposed Goal 15. Protect, restore and promote sustainable use of terrestrial ecosystems, sustainably manage forests, combat desertification, and halt and reverse land degradation and halt biodiversity loss</w:t>
            </w:r>
          </w:p>
          <w:p w:rsidR="00311D12" w:rsidRPr="00C56231" w:rsidRDefault="00311D12" w:rsidP="00C56231">
            <w:pPr>
              <w:jc w:val="center"/>
              <w:rPr>
                <w:rFonts w:ascii="Arial" w:hAnsi="Arial" w:cs="Arial"/>
                <w:color w:val="000000"/>
                <w:szCs w:val="20"/>
              </w:rPr>
            </w:pPr>
          </w:p>
        </w:tc>
      </w:tr>
      <w:tr w:rsidR="00311D12" w:rsidRPr="009C1C09" w:rsidTr="00093C8D">
        <w:trPr>
          <w:trHeight w:val="2853"/>
        </w:trPr>
        <w:tc>
          <w:tcPr>
            <w:tcW w:w="5070" w:type="dxa"/>
            <w:tcBorders>
              <w:bottom w:val="single" w:sz="4" w:space="0" w:color="auto"/>
            </w:tcBorders>
          </w:tcPr>
          <w:p w:rsidR="00311D12" w:rsidRDefault="00311D12" w:rsidP="00B013F3">
            <w:pPr>
              <w:rPr>
                <w:rFonts w:ascii="Arial" w:hAnsi="Arial" w:cs="Arial"/>
                <w:color w:val="000000"/>
                <w:sz w:val="20"/>
                <w:szCs w:val="20"/>
              </w:rPr>
            </w:pPr>
          </w:p>
          <w:p w:rsidR="00311D12" w:rsidRPr="00084187" w:rsidRDefault="00311D12" w:rsidP="00B013F3">
            <w:pPr>
              <w:rPr>
                <w:rFonts w:ascii="Arial" w:hAnsi="Arial" w:cs="Arial"/>
                <w:b/>
                <w:color w:val="000000"/>
                <w:sz w:val="20"/>
                <w:szCs w:val="20"/>
              </w:rPr>
            </w:pPr>
            <w:r w:rsidRPr="00B013F3">
              <w:rPr>
                <w:rFonts w:ascii="Arial" w:hAnsi="Arial" w:cs="Arial"/>
                <w:color w:val="000000"/>
                <w:sz w:val="20"/>
                <w:szCs w:val="20"/>
              </w:rPr>
              <w:t>15.5 Take urgent and signi</w:t>
            </w:r>
            <w:r>
              <w:rPr>
                <w:rFonts w:ascii="Arial" w:hAnsi="Arial" w:cs="Arial"/>
                <w:color w:val="000000"/>
                <w:sz w:val="20"/>
                <w:szCs w:val="20"/>
              </w:rPr>
              <w:t>fi</w:t>
            </w:r>
            <w:r w:rsidRPr="00B013F3">
              <w:rPr>
                <w:rFonts w:ascii="Arial" w:hAnsi="Arial" w:cs="Arial"/>
                <w:color w:val="000000"/>
                <w:sz w:val="20"/>
                <w:szCs w:val="20"/>
              </w:rPr>
              <w:t>cant action to reduce the degradation of natural habitats, halt the loss of biodiversity and, by 2020, protect and prevent the extinction of threatened species</w:t>
            </w:r>
          </w:p>
        </w:tc>
        <w:tc>
          <w:tcPr>
            <w:tcW w:w="7371" w:type="dxa"/>
            <w:tcBorders>
              <w:bottom w:val="single" w:sz="4" w:space="0" w:color="auto"/>
            </w:tcBorders>
          </w:tcPr>
          <w:p w:rsidR="00311D12" w:rsidRDefault="00311D12" w:rsidP="00C56231">
            <w:pPr>
              <w:pStyle w:val="ListParagraph"/>
              <w:tabs>
                <w:tab w:val="center" w:pos="4513"/>
                <w:tab w:val="right" w:pos="9026"/>
              </w:tabs>
              <w:ind w:left="33"/>
              <w:contextualSpacing w:val="0"/>
              <w:rPr>
                <w:rFonts w:ascii="Arial" w:hAnsi="Arial" w:cs="Arial"/>
                <w:color w:val="000000"/>
                <w:sz w:val="20"/>
                <w:szCs w:val="20"/>
              </w:rPr>
            </w:pPr>
          </w:p>
          <w:p w:rsidR="00311D12" w:rsidRPr="0089703F" w:rsidRDefault="00311D12" w:rsidP="00C56231">
            <w:pPr>
              <w:pStyle w:val="ListParagraph"/>
              <w:tabs>
                <w:tab w:val="center" w:pos="4513"/>
                <w:tab w:val="right" w:pos="9026"/>
              </w:tabs>
              <w:ind w:left="33"/>
              <w:contextualSpacing w:val="0"/>
              <w:rPr>
                <w:rFonts w:ascii="Arial" w:hAnsi="Arial" w:cs="Arial"/>
                <w:sz w:val="20"/>
                <w:szCs w:val="20"/>
              </w:rPr>
            </w:pPr>
            <w:r w:rsidRPr="0089703F">
              <w:rPr>
                <w:rFonts w:ascii="Arial" w:hAnsi="Arial" w:cs="Arial"/>
                <w:sz w:val="20"/>
                <w:szCs w:val="20"/>
              </w:rPr>
              <w:t>15.5.1 Number of unmanaged obsolete pesticide stockpiles and improperly managed waste disposal sites</w:t>
            </w:r>
          </w:p>
          <w:p w:rsidR="00534E62" w:rsidRPr="0089703F" w:rsidRDefault="00311D12" w:rsidP="00534E62">
            <w:pPr>
              <w:pStyle w:val="ListParagraph"/>
              <w:spacing w:before="100" w:beforeAutospacing="1" w:after="100" w:afterAutospacing="1"/>
              <w:ind w:left="33"/>
              <w:contextualSpacing w:val="0"/>
              <w:rPr>
                <w:rFonts w:ascii="Arial" w:hAnsi="Arial" w:cs="Arial"/>
                <w:b/>
                <w:color w:val="0070C0"/>
                <w:sz w:val="20"/>
                <w:szCs w:val="20"/>
              </w:rPr>
            </w:pPr>
            <w:r w:rsidRPr="0089703F">
              <w:rPr>
                <w:rFonts w:ascii="Arial" w:hAnsi="Arial" w:cs="Arial"/>
                <w:b/>
                <w:color w:val="0070C0"/>
                <w:sz w:val="20"/>
                <w:szCs w:val="20"/>
              </w:rPr>
              <w:t>15. 5.2 Percentage of hazardous wastes and other wastes, including obsolete stockpiles of pesticides</w:t>
            </w:r>
            <w:r w:rsidR="00534E62">
              <w:rPr>
                <w:rFonts w:ascii="Arial" w:hAnsi="Arial" w:cs="Arial"/>
                <w:b/>
                <w:color w:val="0070C0"/>
                <w:sz w:val="20"/>
                <w:szCs w:val="20"/>
              </w:rPr>
              <w:t>,</w:t>
            </w:r>
            <w:r w:rsidR="00534E62" w:rsidRPr="00534E62">
              <w:rPr>
                <w:rFonts w:ascii="Arial" w:hAnsi="Arial" w:cs="Arial"/>
                <w:b/>
                <w:color w:val="0070C0"/>
                <w:sz w:val="20"/>
                <w:szCs w:val="20"/>
              </w:rPr>
              <w:t xml:space="preserve"> recovered, reused and recycled, including for energy generation</w:t>
            </w:r>
          </w:p>
          <w:p w:rsidR="00311D12" w:rsidRPr="0089703F" w:rsidRDefault="00311D12" w:rsidP="00A57406">
            <w:pPr>
              <w:pStyle w:val="ListParagraph"/>
              <w:tabs>
                <w:tab w:val="center" w:pos="4513"/>
                <w:tab w:val="right" w:pos="9026"/>
              </w:tabs>
              <w:spacing w:before="100" w:beforeAutospacing="1" w:after="100" w:afterAutospacing="1"/>
              <w:ind w:left="33"/>
              <w:contextualSpacing w:val="0"/>
              <w:rPr>
                <w:rFonts w:ascii="Arial" w:hAnsi="Arial" w:cs="Arial"/>
                <w:b/>
                <w:color w:val="0070C0"/>
                <w:sz w:val="20"/>
                <w:szCs w:val="20"/>
              </w:rPr>
            </w:pPr>
            <w:r w:rsidRPr="0089703F">
              <w:rPr>
                <w:rFonts w:ascii="Arial" w:hAnsi="Arial" w:cs="Arial"/>
                <w:b/>
                <w:color w:val="0070C0"/>
                <w:sz w:val="20"/>
                <w:szCs w:val="20"/>
              </w:rPr>
              <w:t>15.5.3 Number of facilities for environmentally sound management of hazardous waste</w:t>
            </w:r>
          </w:p>
          <w:p w:rsidR="00311D12" w:rsidRPr="00534E62" w:rsidRDefault="00311D12" w:rsidP="00A57406">
            <w:pPr>
              <w:pStyle w:val="ListParagraph"/>
              <w:spacing w:before="100" w:beforeAutospacing="1"/>
              <w:ind w:left="33"/>
              <w:contextualSpacing w:val="0"/>
              <w:rPr>
                <w:rFonts w:ascii="Arial" w:hAnsi="Arial" w:cs="Arial"/>
                <w:sz w:val="20"/>
                <w:szCs w:val="20"/>
              </w:rPr>
            </w:pPr>
            <w:r w:rsidRPr="00534E62">
              <w:rPr>
                <w:rFonts w:ascii="Arial" w:hAnsi="Arial" w:cs="Arial"/>
                <w:sz w:val="20"/>
                <w:szCs w:val="20"/>
              </w:rPr>
              <w:t>15.5.4 Levels of hazardous chemical pollutants in freshwater ecosystems</w:t>
            </w:r>
          </w:p>
          <w:p w:rsidR="00311D12" w:rsidRPr="00B013F3" w:rsidRDefault="00311D12" w:rsidP="00B013F3">
            <w:pPr>
              <w:spacing w:before="100" w:beforeAutospacing="1" w:after="100" w:afterAutospacing="1"/>
              <w:rPr>
                <w:rFonts w:ascii="Arial" w:hAnsi="Arial" w:cs="Arial"/>
                <w:color w:val="000000"/>
                <w:sz w:val="20"/>
                <w:szCs w:val="20"/>
              </w:rPr>
            </w:pPr>
          </w:p>
        </w:tc>
        <w:tc>
          <w:tcPr>
            <w:tcW w:w="1984" w:type="dxa"/>
            <w:tcBorders>
              <w:bottom w:val="single" w:sz="4" w:space="0" w:color="auto"/>
            </w:tcBorders>
          </w:tcPr>
          <w:p w:rsidR="00311D12" w:rsidRDefault="00311D12" w:rsidP="00A57406">
            <w:pPr>
              <w:pStyle w:val="ListParagraph"/>
              <w:tabs>
                <w:tab w:val="center" w:pos="4513"/>
                <w:tab w:val="right" w:pos="9026"/>
              </w:tabs>
              <w:spacing w:before="100" w:beforeAutospacing="1" w:after="100" w:afterAutospacing="1"/>
              <w:ind w:left="360"/>
              <w:contextualSpacing w:val="0"/>
              <w:rPr>
                <w:rFonts w:ascii="Arial" w:hAnsi="Arial" w:cs="Arial"/>
                <w:color w:val="000000"/>
                <w:sz w:val="20"/>
                <w:szCs w:val="20"/>
              </w:rPr>
            </w:pPr>
          </w:p>
          <w:p w:rsidR="00311D12" w:rsidRDefault="00311D12" w:rsidP="00A57406">
            <w:pPr>
              <w:pStyle w:val="ListParagraph"/>
              <w:tabs>
                <w:tab w:val="center" w:pos="4513"/>
                <w:tab w:val="right" w:pos="9026"/>
              </w:tabs>
              <w:spacing w:before="100" w:beforeAutospacing="1" w:after="100" w:afterAutospacing="1"/>
              <w:ind w:left="360"/>
              <w:contextualSpacing w:val="0"/>
              <w:rPr>
                <w:rFonts w:ascii="Arial" w:hAnsi="Arial" w:cs="Arial"/>
                <w:color w:val="000000"/>
                <w:sz w:val="20"/>
                <w:szCs w:val="20"/>
              </w:rPr>
            </w:pPr>
          </w:p>
          <w:p w:rsidR="00311D12" w:rsidRDefault="00534E62" w:rsidP="00A57406">
            <w:pPr>
              <w:spacing w:before="100" w:beforeAutospacing="1" w:after="100" w:afterAutospacing="1"/>
              <w:rPr>
                <w:rFonts w:ascii="Arial" w:eastAsia="SimSun" w:hAnsi="Arial" w:cs="Arial"/>
                <w:color w:val="000000"/>
                <w:sz w:val="20"/>
                <w:szCs w:val="20"/>
              </w:rPr>
            </w:pPr>
            <w:r>
              <w:rPr>
                <w:rFonts w:ascii="Arial" w:eastAsia="SimSun" w:hAnsi="Arial" w:cs="Arial"/>
                <w:color w:val="000000"/>
                <w:sz w:val="20"/>
                <w:szCs w:val="20"/>
              </w:rPr>
              <w:t>Same as</w:t>
            </w:r>
            <w:r w:rsidR="0089703F">
              <w:rPr>
                <w:rFonts w:ascii="Arial" w:eastAsia="SimSun" w:hAnsi="Arial" w:cs="Arial"/>
                <w:color w:val="000000"/>
                <w:sz w:val="20"/>
                <w:szCs w:val="20"/>
              </w:rPr>
              <w:t xml:space="preserve"> </w:t>
            </w:r>
            <w:r w:rsidR="00311D12" w:rsidRPr="00E34C41">
              <w:rPr>
                <w:rFonts w:ascii="Arial" w:eastAsia="SimSun" w:hAnsi="Arial" w:cs="Arial"/>
                <w:color w:val="000000"/>
                <w:sz w:val="20"/>
                <w:szCs w:val="20"/>
              </w:rPr>
              <w:t xml:space="preserve"> </w:t>
            </w:r>
            <w:r w:rsidR="00311D12">
              <w:rPr>
                <w:rFonts w:ascii="Arial" w:eastAsia="SimSun" w:hAnsi="Arial" w:cs="Arial"/>
                <w:color w:val="000000"/>
                <w:sz w:val="20"/>
                <w:szCs w:val="20"/>
              </w:rPr>
              <w:t xml:space="preserve">the indicator on wastes under  Sustainable Consumption and Production </w:t>
            </w:r>
          </w:p>
          <w:p w:rsidR="00311D12" w:rsidRPr="009C1C09" w:rsidRDefault="00311D12" w:rsidP="00A57406">
            <w:pPr>
              <w:pStyle w:val="ListParagraph"/>
              <w:tabs>
                <w:tab w:val="center" w:pos="4513"/>
                <w:tab w:val="right" w:pos="9026"/>
              </w:tabs>
              <w:spacing w:before="100" w:beforeAutospacing="1" w:after="100" w:afterAutospacing="1"/>
              <w:ind w:left="360"/>
              <w:contextualSpacing w:val="0"/>
              <w:rPr>
                <w:rFonts w:ascii="Arial" w:hAnsi="Arial" w:cs="Arial"/>
                <w:color w:val="000000"/>
                <w:sz w:val="20"/>
                <w:szCs w:val="20"/>
              </w:rPr>
            </w:pPr>
          </w:p>
        </w:tc>
      </w:tr>
      <w:tr w:rsidR="00311D12" w:rsidRPr="009C1C09" w:rsidTr="00093C8D">
        <w:tc>
          <w:tcPr>
            <w:tcW w:w="14425" w:type="dxa"/>
            <w:gridSpan w:val="3"/>
            <w:tcBorders>
              <w:bottom w:val="single" w:sz="4" w:space="0" w:color="auto"/>
            </w:tcBorders>
            <w:shd w:val="clear" w:color="auto" w:fill="FFC000"/>
          </w:tcPr>
          <w:p w:rsidR="00311D12" w:rsidRDefault="00311D12" w:rsidP="00093C8D">
            <w:pPr>
              <w:contextualSpacing/>
              <w:jc w:val="center"/>
              <w:rPr>
                <w:rFonts w:ascii="Arial" w:hAnsi="Arial" w:cs="Arial"/>
                <w:b/>
                <w:szCs w:val="20"/>
              </w:rPr>
            </w:pPr>
          </w:p>
          <w:p w:rsidR="00311D12" w:rsidRDefault="00311D12" w:rsidP="00984C1C">
            <w:pPr>
              <w:contextualSpacing/>
              <w:jc w:val="center"/>
              <w:rPr>
                <w:rFonts w:ascii="Arial" w:hAnsi="Arial" w:cs="Arial"/>
                <w:b/>
                <w:szCs w:val="20"/>
              </w:rPr>
            </w:pPr>
            <w:r w:rsidRPr="00093C8D">
              <w:rPr>
                <w:rFonts w:ascii="Arial" w:hAnsi="Arial" w:cs="Arial"/>
                <w:b/>
                <w:szCs w:val="20"/>
              </w:rPr>
              <w:t>Proposed Goal 17. Strengthen the means of implementation and revitalize the global partnership for sustainable development</w:t>
            </w:r>
          </w:p>
          <w:p w:rsidR="00311D12" w:rsidRDefault="00311D12" w:rsidP="00984C1C">
            <w:pPr>
              <w:contextualSpacing/>
              <w:jc w:val="center"/>
              <w:rPr>
                <w:rFonts w:ascii="Arial" w:hAnsi="Arial" w:cs="Arial"/>
                <w:color w:val="000000"/>
                <w:sz w:val="20"/>
                <w:szCs w:val="20"/>
              </w:rPr>
            </w:pPr>
          </w:p>
        </w:tc>
      </w:tr>
      <w:tr w:rsidR="00311D12" w:rsidRPr="009C1C09" w:rsidTr="00306060">
        <w:tc>
          <w:tcPr>
            <w:tcW w:w="5070" w:type="dxa"/>
            <w:tcBorders>
              <w:bottom w:val="single" w:sz="4" w:space="0" w:color="auto"/>
            </w:tcBorders>
          </w:tcPr>
          <w:p w:rsidR="00311D12" w:rsidRDefault="00311D12" w:rsidP="00B013F3">
            <w:pPr>
              <w:contextualSpacing/>
              <w:rPr>
                <w:rFonts w:ascii="Arial" w:hAnsi="Arial" w:cs="Arial"/>
                <w:b/>
                <w:sz w:val="20"/>
                <w:szCs w:val="20"/>
              </w:rPr>
            </w:pPr>
          </w:p>
          <w:p w:rsidR="00311D12" w:rsidRPr="00B013F3" w:rsidRDefault="00311D12" w:rsidP="00B013F3">
            <w:pPr>
              <w:contextualSpacing/>
              <w:rPr>
                <w:rFonts w:ascii="Arial" w:hAnsi="Arial" w:cs="Arial"/>
                <w:sz w:val="20"/>
                <w:szCs w:val="20"/>
              </w:rPr>
            </w:pPr>
            <w:r w:rsidRPr="00B013F3">
              <w:rPr>
                <w:rFonts w:ascii="Arial" w:hAnsi="Arial" w:cs="Arial"/>
                <w:sz w:val="20"/>
                <w:szCs w:val="20"/>
              </w:rPr>
              <w:t>17.9 Enhance international support for implementing effective and targeted capacity-building in developing countries to support national plans to implement all the sustainable development goals, including through North-South, South-South and triangular cooperation</w:t>
            </w: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Pr="00B013F3"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r w:rsidRPr="00B013F3">
              <w:rPr>
                <w:rFonts w:ascii="Arial" w:hAnsi="Arial" w:cs="Arial"/>
                <w:sz w:val="20"/>
                <w:szCs w:val="20"/>
              </w:rPr>
              <w:t>17.14 Enhance policy coherence for sustainable development</w:t>
            </w: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Default="00311D12" w:rsidP="00B013F3">
            <w:pPr>
              <w:contextualSpacing/>
              <w:rPr>
                <w:rFonts w:ascii="Arial" w:hAnsi="Arial" w:cs="Arial"/>
                <w:sz w:val="20"/>
                <w:szCs w:val="20"/>
              </w:rPr>
            </w:pPr>
          </w:p>
          <w:p w:rsidR="00311D12" w:rsidRPr="00B013F3" w:rsidRDefault="00311D12" w:rsidP="00B013F3">
            <w:pPr>
              <w:contextualSpacing/>
              <w:rPr>
                <w:rFonts w:ascii="Arial" w:hAnsi="Arial" w:cs="Arial"/>
                <w:sz w:val="20"/>
                <w:szCs w:val="20"/>
              </w:rPr>
            </w:pPr>
          </w:p>
          <w:p w:rsidR="00311D12" w:rsidRPr="00B013F3" w:rsidRDefault="00311D12" w:rsidP="00B013F3">
            <w:pPr>
              <w:contextualSpacing/>
              <w:rPr>
                <w:rFonts w:ascii="Arial" w:hAnsi="Arial" w:cs="Arial"/>
                <w:sz w:val="20"/>
                <w:szCs w:val="20"/>
              </w:rPr>
            </w:pPr>
            <w:r w:rsidRPr="00B013F3">
              <w:rPr>
                <w:rFonts w:ascii="Arial" w:hAnsi="Arial" w:cs="Arial"/>
                <w:sz w:val="20"/>
                <w:szCs w:val="20"/>
              </w:rPr>
              <w:t>17.18 By 2020, enhance capacity-building support to developing countries, including for least</w:t>
            </w:r>
          </w:p>
          <w:p w:rsidR="00311D12" w:rsidRPr="00B013F3" w:rsidRDefault="00311D12" w:rsidP="00B013F3">
            <w:pPr>
              <w:contextualSpacing/>
              <w:rPr>
                <w:rFonts w:ascii="Arial" w:hAnsi="Arial" w:cs="Arial"/>
                <w:sz w:val="20"/>
                <w:szCs w:val="20"/>
              </w:rPr>
            </w:pPr>
            <w:r w:rsidRPr="00B013F3">
              <w:rPr>
                <w:rFonts w:ascii="Arial" w:hAnsi="Arial" w:cs="Arial"/>
                <w:sz w:val="20"/>
                <w:szCs w:val="20"/>
              </w:rPr>
              <w:t>developed countries and small island developing States, to increase significantly the availability of</w:t>
            </w:r>
          </w:p>
          <w:p w:rsidR="00311D12" w:rsidRPr="00B013F3" w:rsidRDefault="00311D12" w:rsidP="00B013F3">
            <w:pPr>
              <w:contextualSpacing/>
              <w:rPr>
                <w:rFonts w:ascii="Arial" w:hAnsi="Arial" w:cs="Arial"/>
                <w:sz w:val="20"/>
                <w:szCs w:val="20"/>
              </w:rPr>
            </w:pPr>
            <w:r w:rsidRPr="00B013F3">
              <w:rPr>
                <w:rFonts w:ascii="Arial" w:hAnsi="Arial" w:cs="Arial"/>
                <w:sz w:val="20"/>
                <w:szCs w:val="20"/>
              </w:rPr>
              <w:t xml:space="preserve">high-quality, timely and reliable data disaggregated by income, gender, age, race, ethnicity, migratory status, disability, geographic location and other characteristics </w:t>
            </w:r>
            <w:r w:rsidRPr="00B013F3">
              <w:rPr>
                <w:rFonts w:ascii="Arial" w:hAnsi="Arial" w:cs="Arial"/>
                <w:sz w:val="20"/>
                <w:szCs w:val="20"/>
              </w:rPr>
              <w:lastRenderedPageBreak/>
              <w:t>relevant in national contexts</w:t>
            </w:r>
          </w:p>
          <w:p w:rsidR="00311D12" w:rsidRDefault="00311D12" w:rsidP="00B013F3">
            <w:pPr>
              <w:contextualSpacing/>
              <w:rPr>
                <w:rFonts w:ascii="Arial" w:hAnsi="Arial" w:cs="Arial"/>
                <w:b/>
                <w:sz w:val="20"/>
                <w:szCs w:val="20"/>
              </w:rPr>
            </w:pPr>
          </w:p>
          <w:p w:rsidR="00311D12" w:rsidRPr="00B013F3" w:rsidRDefault="00311D12" w:rsidP="00B013F3">
            <w:pPr>
              <w:contextualSpacing/>
            </w:pPr>
          </w:p>
        </w:tc>
        <w:tc>
          <w:tcPr>
            <w:tcW w:w="7371" w:type="dxa"/>
            <w:tcBorders>
              <w:bottom w:val="single" w:sz="4" w:space="0" w:color="auto"/>
            </w:tcBorders>
          </w:tcPr>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311D12" w:rsidRDefault="00311D12" w:rsidP="00A57406">
            <w:pPr>
              <w:pStyle w:val="ListParagraph"/>
              <w:tabs>
                <w:tab w:val="center" w:pos="4513"/>
                <w:tab w:val="right" w:pos="9026"/>
              </w:tabs>
              <w:spacing w:before="100" w:beforeAutospacing="1" w:after="100" w:afterAutospacing="1"/>
              <w:ind w:left="33"/>
              <w:contextualSpacing w:val="0"/>
              <w:rPr>
                <w:rFonts w:ascii="Arial" w:hAnsi="Arial" w:cs="Arial"/>
                <w:sz w:val="20"/>
                <w:szCs w:val="20"/>
              </w:rPr>
            </w:pPr>
            <w:r w:rsidRPr="00A57406">
              <w:rPr>
                <w:rFonts w:ascii="Arial" w:hAnsi="Arial" w:cs="Arial"/>
                <w:sz w:val="20"/>
                <w:szCs w:val="20"/>
              </w:rPr>
              <w:t>17.9.1 Number of public-private partnerships to promote the implementation of sound chemical management policies and strategies as a contribution to economic development plans and processes</w:t>
            </w:r>
          </w:p>
          <w:p w:rsidR="00311D12" w:rsidRPr="00534E62" w:rsidRDefault="00311D12" w:rsidP="004D314A">
            <w:pPr>
              <w:pStyle w:val="ListParagraph"/>
              <w:spacing w:before="100" w:beforeAutospacing="1" w:after="100" w:afterAutospacing="1"/>
              <w:ind w:left="33"/>
              <w:rPr>
                <w:rFonts w:ascii="Arial" w:hAnsi="Arial" w:cs="Arial"/>
                <w:b/>
                <w:color w:val="0070C0"/>
                <w:sz w:val="20"/>
                <w:szCs w:val="20"/>
              </w:rPr>
            </w:pPr>
            <w:r w:rsidRPr="00534E62">
              <w:rPr>
                <w:rFonts w:ascii="Arial" w:hAnsi="Arial" w:cs="Arial"/>
                <w:b/>
                <w:color w:val="0070C0"/>
                <w:sz w:val="20"/>
                <w:szCs w:val="20"/>
              </w:rPr>
              <w:t>17.9.2 Number of countries that integrated chemicals and waste into their national development plans or strategies</w:t>
            </w:r>
          </w:p>
          <w:p w:rsidR="00311D12" w:rsidRPr="00534E62" w:rsidRDefault="00311D12" w:rsidP="004D314A">
            <w:pPr>
              <w:pStyle w:val="ListParagraph"/>
              <w:spacing w:before="100" w:beforeAutospacing="1" w:after="100" w:afterAutospacing="1"/>
              <w:ind w:left="33"/>
              <w:rPr>
                <w:rFonts w:ascii="Arial" w:hAnsi="Arial" w:cs="Arial"/>
                <w:b/>
                <w:color w:val="0070C0"/>
                <w:sz w:val="20"/>
                <w:szCs w:val="20"/>
              </w:rPr>
            </w:pPr>
          </w:p>
          <w:p w:rsidR="00311D12" w:rsidRPr="00534E62" w:rsidRDefault="00311D12" w:rsidP="004D314A">
            <w:pPr>
              <w:pStyle w:val="ListParagraph"/>
              <w:spacing w:before="100" w:beforeAutospacing="1" w:after="100" w:afterAutospacing="1"/>
              <w:ind w:left="33"/>
              <w:rPr>
                <w:rFonts w:ascii="Arial" w:hAnsi="Arial" w:cs="Arial"/>
                <w:b/>
                <w:color w:val="0070C0"/>
                <w:sz w:val="20"/>
                <w:szCs w:val="20"/>
              </w:rPr>
            </w:pPr>
            <w:r w:rsidRPr="00534E62">
              <w:rPr>
                <w:rFonts w:ascii="Arial" w:hAnsi="Arial" w:cs="Arial"/>
                <w:b/>
                <w:color w:val="0070C0"/>
                <w:sz w:val="20"/>
                <w:szCs w:val="20"/>
              </w:rPr>
              <w:t>17.9.3 Percentage of national budgets allocated to sound management of chemicals and waste</w:t>
            </w:r>
          </w:p>
          <w:p w:rsidR="00311D12" w:rsidRPr="00A57406" w:rsidRDefault="00311D12" w:rsidP="00A57406">
            <w:pPr>
              <w:pStyle w:val="ListParagraph"/>
              <w:tabs>
                <w:tab w:val="center" w:pos="4513"/>
                <w:tab w:val="right" w:pos="9026"/>
              </w:tabs>
              <w:spacing w:before="100" w:beforeAutospacing="1" w:after="100" w:afterAutospacing="1"/>
              <w:ind w:left="33"/>
              <w:contextualSpacing w:val="0"/>
              <w:rPr>
                <w:rFonts w:ascii="Arial" w:hAnsi="Arial" w:cs="Arial"/>
                <w:sz w:val="20"/>
                <w:szCs w:val="20"/>
              </w:rPr>
            </w:pPr>
          </w:p>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311D12" w:rsidRPr="00534E62" w:rsidRDefault="00311D12" w:rsidP="00A57406">
            <w:pPr>
              <w:pStyle w:val="ListParagraph"/>
              <w:spacing w:before="100" w:beforeAutospacing="1" w:after="100" w:afterAutospacing="1"/>
              <w:ind w:left="409"/>
              <w:rPr>
                <w:rFonts w:ascii="Arial" w:hAnsi="Arial" w:cs="Arial"/>
                <w:b/>
                <w:color w:val="0070C0"/>
                <w:sz w:val="20"/>
                <w:szCs w:val="20"/>
              </w:rPr>
            </w:pP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r w:rsidRPr="00534E62">
              <w:rPr>
                <w:rFonts w:ascii="Arial" w:hAnsi="Arial" w:cs="Arial"/>
                <w:b/>
                <w:color w:val="0070C0"/>
                <w:sz w:val="20"/>
                <w:szCs w:val="20"/>
              </w:rPr>
              <w:t>17.14.1 Number of countries with multi-sectoral and multi-stakeholder coordination mechanisms in place for a coordinated implementation of chemicals and wastes conventions and frameworks</w:t>
            </w: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r w:rsidRPr="00534E62">
              <w:rPr>
                <w:rFonts w:ascii="Arial" w:hAnsi="Arial" w:cs="Arial"/>
                <w:b/>
                <w:color w:val="0070C0"/>
                <w:sz w:val="20"/>
                <w:szCs w:val="20"/>
              </w:rPr>
              <w:t>17.14.2 Number of countries with institutional, legal, and regulatory frameworks for the sound management of chemicals and waste, including enforcement of national legislation and prevention of illegal traffic</w:t>
            </w: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p>
          <w:p w:rsidR="00311D12" w:rsidRPr="00534E62" w:rsidRDefault="00311D12" w:rsidP="00A57406">
            <w:pPr>
              <w:pStyle w:val="ListParagraph"/>
              <w:spacing w:before="100" w:beforeAutospacing="1" w:after="100" w:afterAutospacing="1"/>
              <w:ind w:left="33"/>
              <w:rPr>
                <w:rFonts w:ascii="Arial" w:hAnsi="Arial" w:cs="Arial"/>
                <w:b/>
                <w:color w:val="0070C0"/>
                <w:sz w:val="20"/>
                <w:szCs w:val="20"/>
              </w:rPr>
            </w:pPr>
            <w:r w:rsidRPr="00534E62">
              <w:rPr>
                <w:rFonts w:ascii="Arial" w:hAnsi="Arial" w:cs="Arial"/>
                <w:b/>
                <w:color w:val="0070C0"/>
                <w:sz w:val="20"/>
                <w:szCs w:val="20"/>
              </w:rPr>
              <w:t>17.18.1 Number of national reports on the implementation of relevant multilateral environmental agreements on hazardous chemicals and waste</w:t>
            </w:r>
          </w:p>
          <w:p w:rsidR="00311D12" w:rsidRPr="00306060" w:rsidRDefault="00311D12" w:rsidP="00A57406">
            <w:pPr>
              <w:pStyle w:val="ListParagraph"/>
              <w:tabs>
                <w:tab w:val="center" w:pos="4513"/>
                <w:tab w:val="right" w:pos="9026"/>
              </w:tabs>
              <w:spacing w:before="100" w:beforeAutospacing="1" w:after="100" w:afterAutospacing="1"/>
              <w:ind w:left="360"/>
              <w:contextualSpacing w:val="0"/>
              <w:rPr>
                <w:rFonts w:ascii="Arial" w:hAnsi="Arial" w:cs="Arial"/>
                <w:color w:val="FF0000"/>
                <w:sz w:val="20"/>
                <w:szCs w:val="20"/>
              </w:rPr>
            </w:pPr>
          </w:p>
        </w:tc>
        <w:tc>
          <w:tcPr>
            <w:tcW w:w="1984" w:type="dxa"/>
            <w:tcBorders>
              <w:bottom w:val="single" w:sz="4" w:space="0" w:color="auto"/>
            </w:tcBorders>
          </w:tcPr>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534E62" w:rsidRDefault="00534E62" w:rsidP="004D314A">
            <w:pPr>
              <w:pStyle w:val="ListParagraph"/>
              <w:spacing w:before="100" w:beforeAutospacing="1" w:after="100" w:afterAutospacing="1"/>
              <w:ind w:left="33"/>
              <w:rPr>
                <w:rFonts w:ascii="Arial" w:hAnsi="Arial" w:cs="Arial"/>
                <w:color w:val="000000"/>
                <w:sz w:val="20"/>
                <w:szCs w:val="20"/>
              </w:rPr>
            </w:pPr>
          </w:p>
          <w:p w:rsidR="00534E62" w:rsidRDefault="00534E62" w:rsidP="004D314A">
            <w:pPr>
              <w:pStyle w:val="ListParagraph"/>
              <w:spacing w:before="100" w:beforeAutospacing="1" w:after="100" w:afterAutospacing="1"/>
              <w:ind w:left="33"/>
              <w:rPr>
                <w:rFonts w:ascii="Arial" w:hAnsi="Arial" w:cs="Arial"/>
                <w:color w:val="000000"/>
                <w:sz w:val="20"/>
                <w:szCs w:val="20"/>
              </w:rPr>
            </w:pPr>
          </w:p>
          <w:p w:rsidR="00534E62" w:rsidRDefault="00534E62" w:rsidP="004D314A">
            <w:pPr>
              <w:pStyle w:val="ListParagraph"/>
              <w:spacing w:before="100" w:beforeAutospacing="1" w:after="100" w:afterAutospacing="1"/>
              <w:ind w:left="33"/>
              <w:rPr>
                <w:rFonts w:ascii="Arial" w:hAnsi="Arial" w:cs="Arial"/>
                <w:color w:val="000000"/>
                <w:sz w:val="20"/>
                <w:szCs w:val="20"/>
              </w:rPr>
            </w:pPr>
          </w:p>
          <w:p w:rsidR="00534E62" w:rsidRDefault="00534E6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r>
              <w:rPr>
                <w:rFonts w:ascii="Arial" w:hAnsi="Arial" w:cs="Arial"/>
                <w:color w:val="000000"/>
                <w:sz w:val="20"/>
                <w:szCs w:val="20"/>
              </w:rPr>
              <w:t>Same and indicators 1.5.3 and 1.5.4 under Poverty Eradication</w:t>
            </w:r>
          </w:p>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311D12" w:rsidRDefault="00311D12" w:rsidP="00A57406">
            <w:pPr>
              <w:pStyle w:val="ListParagraph"/>
              <w:spacing w:before="100" w:beforeAutospacing="1" w:after="100" w:afterAutospacing="1"/>
              <w:ind w:left="409"/>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r>
              <w:rPr>
                <w:rFonts w:ascii="Arial" w:hAnsi="Arial" w:cs="Arial"/>
                <w:color w:val="000000"/>
                <w:sz w:val="20"/>
                <w:szCs w:val="20"/>
              </w:rPr>
              <w:t>Same as indicators 12.4.1 and 12.4.3 under SCP</w:t>
            </w: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Default="00311D12" w:rsidP="004D314A">
            <w:pPr>
              <w:pStyle w:val="ListParagraph"/>
              <w:spacing w:before="100" w:beforeAutospacing="1" w:after="100" w:afterAutospacing="1"/>
              <w:ind w:left="33"/>
              <w:rPr>
                <w:rFonts w:ascii="Arial" w:hAnsi="Arial" w:cs="Arial"/>
                <w:color w:val="000000"/>
                <w:sz w:val="20"/>
                <w:szCs w:val="20"/>
              </w:rPr>
            </w:pPr>
          </w:p>
          <w:p w:rsidR="00311D12" w:rsidRPr="009C1C09" w:rsidRDefault="00311D12" w:rsidP="004D314A">
            <w:pPr>
              <w:pStyle w:val="ListParagraph"/>
              <w:spacing w:before="100" w:beforeAutospacing="1" w:after="100" w:afterAutospacing="1"/>
              <w:ind w:left="33"/>
              <w:rPr>
                <w:rFonts w:ascii="Arial" w:hAnsi="Arial" w:cs="Arial"/>
                <w:color w:val="000000"/>
                <w:sz w:val="20"/>
                <w:szCs w:val="20"/>
              </w:rPr>
            </w:pPr>
            <w:r>
              <w:rPr>
                <w:rFonts w:ascii="Arial" w:hAnsi="Arial" w:cs="Arial"/>
                <w:color w:val="000000"/>
                <w:sz w:val="20"/>
                <w:szCs w:val="20"/>
              </w:rPr>
              <w:t>Same as indicators 12.4.2 under SCP</w:t>
            </w:r>
          </w:p>
        </w:tc>
      </w:tr>
    </w:tbl>
    <w:p w:rsidR="005E7F07" w:rsidRDefault="005E7F07"/>
    <w:sectPr w:rsidR="005E7F07" w:rsidSect="00995E05">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32" w:rsidRDefault="00202232" w:rsidP="00995E05">
      <w:r>
        <w:separator/>
      </w:r>
    </w:p>
  </w:endnote>
  <w:endnote w:type="continuationSeparator" w:id="0">
    <w:p w:rsidR="00202232" w:rsidRDefault="00202232" w:rsidP="00995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32" w:rsidRDefault="00202232" w:rsidP="00995E05">
      <w:r>
        <w:separator/>
      </w:r>
    </w:p>
  </w:footnote>
  <w:footnote w:type="continuationSeparator" w:id="0">
    <w:p w:rsidR="00202232" w:rsidRDefault="00202232" w:rsidP="00995E05">
      <w:r>
        <w:continuationSeparator/>
      </w:r>
    </w:p>
  </w:footnote>
  <w:footnote w:id="1">
    <w:p w:rsidR="00711945" w:rsidRPr="00711945" w:rsidRDefault="00711945">
      <w:pPr>
        <w:pStyle w:val="FootnoteText"/>
        <w:rPr>
          <w:lang w:val="en-GB"/>
        </w:rPr>
      </w:pPr>
      <w:r>
        <w:rPr>
          <w:rStyle w:val="FootnoteReference"/>
        </w:rPr>
        <w:footnoteRef/>
      </w:r>
      <w:r>
        <w:t xml:space="preserve"> </w:t>
      </w:r>
      <w:r w:rsidRPr="00711945">
        <w:t>Indicators in blue are multi-dimensional and applicable to multiple goals/targets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8FD"/>
    <w:multiLevelType w:val="multilevel"/>
    <w:tmpl w:val="D310C3B2"/>
    <w:lvl w:ilvl="0">
      <w:start w:val="1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15CC6EF7"/>
    <w:multiLevelType w:val="hybridMultilevel"/>
    <w:tmpl w:val="A066D178"/>
    <w:lvl w:ilvl="0" w:tplc="2FA2A652">
      <w:start w:val="1"/>
      <w:numFmt w:val="decimal"/>
      <w:lvlText w:val="9.%1"/>
      <w:lvlJc w:val="left"/>
      <w:pPr>
        <w:ind w:left="360" w:hanging="360"/>
      </w:pPr>
      <w:rPr>
        <w:rFonts w:cs="Times New Roman"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DF6C11"/>
    <w:multiLevelType w:val="multilevel"/>
    <w:tmpl w:val="826E38BC"/>
    <w:lvl w:ilvl="0">
      <w:start w:val="2"/>
      <w:numFmt w:val="decimal"/>
      <w:lvlText w:val="%1"/>
      <w:lvlJc w:val="left"/>
      <w:pPr>
        <w:ind w:left="435" w:hanging="435"/>
      </w:pPr>
      <w:rPr>
        <w:rFonts w:eastAsiaTheme="minorEastAsia" w:hint="default"/>
        <w:color w:val="auto"/>
      </w:rPr>
    </w:lvl>
    <w:lvl w:ilvl="1">
      <w:start w:val="1"/>
      <w:numFmt w:val="decimal"/>
      <w:lvlText w:val="%1.%2"/>
      <w:lvlJc w:val="left"/>
      <w:pPr>
        <w:ind w:left="615" w:hanging="435"/>
      </w:pPr>
      <w:rPr>
        <w:rFonts w:eastAsiaTheme="minorEastAsia" w:hint="default"/>
        <w:color w:val="auto"/>
      </w:rPr>
    </w:lvl>
    <w:lvl w:ilvl="2">
      <w:start w:val="1"/>
      <w:numFmt w:val="decimal"/>
      <w:lvlText w:val="%1.%2.%3"/>
      <w:lvlJc w:val="left"/>
      <w:pPr>
        <w:ind w:left="1080" w:hanging="720"/>
      </w:pPr>
      <w:rPr>
        <w:rFonts w:eastAsiaTheme="minorEastAsia" w:hint="default"/>
        <w:color w:val="auto"/>
      </w:rPr>
    </w:lvl>
    <w:lvl w:ilvl="3">
      <w:start w:val="1"/>
      <w:numFmt w:val="decimal"/>
      <w:lvlText w:val="%1.%2.%3.%4"/>
      <w:lvlJc w:val="left"/>
      <w:pPr>
        <w:ind w:left="1260" w:hanging="720"/>
      </w:pPr>
      <w:rPr>
        <w:rFonts w:eastAsiaTheme="minorEastAsia" w:hint="default"/>
        <w:color w:val="auto"/>
      </w:rPr>
    </w:lvl>
    <w:lvl w:ilvl="4">
      <w:start w:val="1"/>
      <w:numFmt w:val="decimal"/>
      <w:lvlText w:val="%1.%2.%3.%4.%5"/>
      <w:lvlJc w:val="left"/>
      <w:pPr>
        <w:ind w:left="1800" w:hanging="1080"/>
      </w:pPr>
      <w:rPr>
        <w:rFonts w:eastAsiaTheme="minorEastAsia" w:hint="default"/>
        <w:color w:val="auto"/>
      </w:rPr>
    </w:lvl>
    <w:lvl w:ilvl="5">
      <w:start w:val="1"/>
      <w:numFmt w:val="decimal"/>
      <w:lvlText w:val="%1.%2.%3.%4.%5.%6"/>
      <w:lvlJc w:val="left"/>
      <w:pPr>
        <w:ind w:left="1980" w:hanging="1080"/>
      </w:pPr>
      <w:rPr>
        <w:rFonts w:eastAsiaTheme="minorEastAsia" w:hint="default"/>
        <w:color w:val="auto"/>
      </w:rPr>
    </w:lvl>
    <w:lvl w:ilvl="6">
      <w:start w:val="1"/>
      <w:numFmt w:val="decimal"/>
      <w:lvlText w:val="%1.%2.%3.%4.%5.%6.%7"/>
      <w:lvlJc w:val="left"/>
      <w:pPr>
        <w:ind w:left="2520" w:hanging="1440"/>
      </w:pPr>
      <w:rPr>
        <w:rFonts w:eastAsiaTheme="minorEastAsia" w:hint="default"/>
        <w:color w:val="auto"/>
      </w:rPr>
    </w:lvl>
    <w:lvl w:ilvl="7">
      <w:start w:val="1"/>
      <w:numFmt w:val="decimal"/>
      <w:lvlText w:val="%1.%2.%3.%4.%5.%6.%7.%8"/>
      <w:lvlJc w:val="left"/>
      <w:pPr>
        <w:ind w:left="2700" w:hanging="1440"/>
      </w:pPr>
      <w:rPr>
        <w:rFonts w:eastAsiaTheme="minorEastAsia" w:hint="default"/>
        <w:color w:val="auto"/>
      </w:rPr>
    </w:lvl>
    <w:lvl w:ilvl="8">
      <w:start w:val="1"/>
      <w:numFmt w:val="decimal"/>
      <w:lvlText w:val="%1.%2.%3.%4.%5.%6.%7.%8.%9"/>
      <w:lvlJc w:val="left"/>
      <w:pPr>
        <w:ind w:left="3240" w:hanging="1800"/>
      </w:pPr>
      <w:rPr>
        <w:rFonts w:eastAsiaTheme="minorEastAsia" w:hint="default"/>
        <w:color w:val="auto"/>
      </w:rPr>
    </w:lvl>
  </w:abstractNum>
  <w:abstractNum w:abstractNumId="3">
    <w:nsid w:val="1EA019C3"/>
    <w:multiLevelType w:val="multilevel"/>
    <w:tmpl w:val="F466862C"/>
    <w:lvl w:ilvl="0">
      <w:start w:val="12"/>
      <w:numFmt w:val="decimal"/>
      <w:lvlText w:val="%1."/>
      <w:lvlJc w:val="left"/>
      <w:pPr>
        <w:ind w:left="600" w:hanging="600"/>
      </w:pPr>
      <w:rPr>
        <w:rFonts w:hint="default"/>
      </w:rPr>
    </w:lvl>
    <w:lvl w:ilvl="1">
      <w:start w:val="1"/>
      <w:numFmt w:val="decimal"/>
      <w:lvlText w:val="%1.%2."/>
      <w:lvlJc w:val="left"/>
      <w:pPr>
        <w:ind w:left="804" w:hanging="60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4">
    <w:nsid w:val="2CBA18BC"/>
    <w:multiLevelType w:val="hybridMultilevel"/>
    <w:tmpl w:val="494AFD88"/>
    <w:lvl w:ilvl="0" w:tplc="E5F81B20">
      <w:start w:val="1"/>
      <w:numFmt w:val="decimal"/>
      <w:lvlText w:val="1.%1"/>
      <w:lvlJc w:val="left"/>
      <w:pPr>
        <w:ind w:left="360" w:hanging="360"/>
      </w:pPr>
      <w:rPr>
        <w:rFonts w:cs="Times New Roman"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985FD1"/>
    <w:multiLevelType w:val="multilevel"/>
    <w:tmpl w:val="5CA47038"/>
    <w:lvl w:ilvl="0">
      <w:start w:val="12"/>
      <w:numFmt w:val="decimal"/>
      <w:lvlText w:val="%1"/>
      <w:lvlJc w:val="left"/>
      <w:pPr>
        <w:ind w:left="540" w:hanging="540"/>
      </w:pPr>
      <w:rPr>
        <w:rFonts w:hint="default"/>
        <w:color w:val="auto"/>
      </w:rPr>
    </w:lvl>
    <w:lvl w:ilvl="1">
      <w:start w:val="4"/>
      <w:numFmt w:val="decimal"/>
      <w:lvlText w:val="%1.%2"/>
      <w:lvlJc w:val="left"/>
      <w:pPr>
        <w:ind w:left="556" w:hanging="540"/>
      </w:pPr>
      <w:rPr>
        <w:rFonts w:hint="default"/>
        <w:color w:val="auto"/>
      </w:rPr>
    </w:lvl>
    <w:lvl w:ilvl="2">
      <w:start w:val="5"/>
      <w:numFmt w:val="decimal"/>
      <w:lvlText w:val="%1.%2.%3"/>
      <w:lvlJc w:val="left"/>
      <w:pPr>
        <w:ind w:left="752" w:hanging="720"/>
      </w:pPr>
      <w:rPr>
        <w:rFonts w:hint="default"/>
        <w:color w:val="auto"/>
      </w:rPr>
    </w:lvl>
    <w:lvl w:ilvl="3">
      <w:start w:val="1"/>
      <w:numFmt w:val="decimal"/>
      <w:lvlText w:val="%1.%2.%3.%4"/>
      <w:lvlJc w:val="left"/>
      <w:pPr>
        <w:ind w:left="768" w:hanging="720"/>
      </w:pPr>
      <w:rPr>
        <w:rFonts w:hint="default"/>
        <w:color w:val="auto"/>
      </w:rPr>
    </w:lvl>
    <w:lvl w:ilvl="4">
      <w:start w:val="1"/>
      <w:numFmt w:val="decimal"/>
      <w:lvlText w:val="%1.%2.%3.%4.%5"/>
      <w:lvlJc w:val="left"/>
      <w:pPr>
        <w:ind w:left="1144" w:hanging="1080"/>
      </w:pPr>
      <w:rPr>
        <w:rFonts w:hint="default"/>
        <w:color w:val="auto"/>
      </w:rPr>
    </w:lvl>
    <w:lvl w:ilvl="5">
      <w:start w:val="1"/>
      <w:numFmt w:val="decimal"/>
      <w:lvlText w:val="%1.%2.%3.%4.%5.%6"/>
      <w:lvlJc w:val="left"/>
      <w:pPr>
        <w:ind w:left="1160" w:hanging="1080"/>
      </w:pPr>
      <w:rPr>
        <w:rFonts w:hint="default"/>
        <w:color w:val="auto"/>
      </w:rPr>
    </w:lvl>
    <w:lvl w:ilvl="6">
      <w:start w:val="1"/>
      <w:numFmt w:val="decimal"/>
      <w:lvlText w:val="%1.%2.%3.%4.%5.%6.%7"/>
      <w:lvlJc w:val="left"/>
      <w:pPr>
        <w:ind w:left="1536" w:hanging="1440"/>
      </w:pPr>
      <w:rPr>
        <w:rFonts w:hint="default"/>
        <w:color w:val="auto"/>
      </w:rPr>
    </w:lvl>
    <w:lvl w:ilvl="7">
      <w:start w:val="1"/>
      <w:numFmt w:val="decimal"/>
      <w:lvlText w:val="%1.%2.%3.%4.%5.%6.%7.%8"/>
      <w:lvlJc w:val="left"/>
      <w:pPr>
        <w:ind w:left="1552" w:hanging="1440"/>
      </w:pPr>
      <w:rPr>
        <w:rFonts w:hint="default"/>
        <w:color w:val="auto"/>
      </w:rPr>
    </w:lvl>
    <w:lvl w:ilvl="8">
      <w:start w:val="1"/>
      <w:numFmt w:val="decimal"/>
      <w:lvlText w:val="%1.%2.%3.%4.%5.%6.%7.%8.%9"/>
      <w:lvlJc w:val="left"/>
      <w:pPr>
        <w:ind w:left="1928" w:hanging="1800"/>
      </w:pPr>
      <w:rPr>
        <w:rFonts w:hint="default"/>
        <w:color w:val="auto"/>
      </w:rPr>
    </w:lvl>
  </w:abstractNum>
  <w:abstractNum w:abstractNumId="6">
    <w:nsid w:val="34A265D7"/>
    <w:multiLevelType w:val="multilevel"/>
    <w:tmpl w:val="9ED28786"/>
    <w:lvl w:ilvl="0">
      <w:start w:val="3"/>
      <w:numFmt w:val="decimal"/>
      <w:lvlText w:val="%1"/>
      <w:lvlJc w:val="left"/>
      <w:pPr>
        <w:ind w:left="360" w:hanging="360"/>
      </w:pPr>
      <w:rPr>
        <w:rFonts w:eastAsia="MS ??" w:hint="default"/>
        <w:color w:val="auto"/>
      </w:rPr>
    </w:lvl>
    <w:lvl w:ilvl="1">
      <w:start w:val="1"/>
      <w:numFmt w:val="decimal"/>
      <w:lvlText w:val="%1.%2"/>
      <w:lvlJc w:val="left"/>
      <w:pPr>
        <w:ind w:left="360" w:hanging="360"/>
      </w:pPr>
      <w:rPr>
        <w:rFonts w:eastAsia="MS ??" w:hint="default"/>
        <w:color w:val="auto"/>
      </w:rPr>
    </w:lvl>
    <w:lvl w:ilvl="2">
      <w:start w:val="1"/>
      <w:numFmt w:val="decimal"/>
      <w:lvlText w:val="%1.%2.%3"/>
      <w:lvlJc w:val="left"/>
      <w:pPr>
        <w:ind w:left="720" w:hanging="720"/>
      </w:pPr>
      <w:rPr>
        <w:rFonts w:eastAsia="MS ??" w:hint="default"/>
        <w:color w:val="auto"/>
      </w:rPr>
    </w:lvl>
    <w:lvl w:ilvl="3">
      <w:start w:val="1"/>
      <w:numFmt w:val="decimal"/>
      <w:lvlText w:val="%1.%2.%3.%4"/>
      <w:lvlJc w:val="left"/>
      <w:pPr>
        <w:ind w:left="720" w:hanging="720"/>
      </w:pPr>
      <w:rPr>
        <w:rFonts w:eastAsia="MS ??" w:hint="default"/>
        <w:color w:val="auto"/>
      </w:rPr>
    </w:lvl>
    <w:lvl w:ilvl="4">
      <w:start w:val="1"/>
      <w:numFmt w:val="decimal"/>
      <w:lvlText w:val="%1.%2.%3.%4.%5"/>
      <w:lvlJc w:val="left"/>
      <w:pPr>
        <w:ind w:left="1080" w:hanging="1080"/>
      </w:pPr>
      <w:rPr>
        <w:rFonts w:eastAsia="MS ??" w:hint="default"/>
        <w:color w:val="auto"/>
      </w:rPr>
    </w:lvl>
    <w:lvl w:ilvl="5">
      <w:start w:val="1"/>
      <w:numFmt w:val="decimal"/>
      <w:lvlText w:val="%1.%2.%3.%4.%5.%6"/>
      <w:lvlJc w:val="left"/>
      <w:pPr>
        <w:ind w:left="1080" w:hanging="1080"/>
      </w:pPr>
      <w:rPr>
        <w:rFonts w:eastAsia="MS ??" w:hint="default"/>
        <w:color w:val="auto"/>
      </w:rPr>
    </w:lvl>
    <w:lvl w:ilvl="6">
      <w:start w:val="1"/>
      <w:numFmt w:val="decimal"/>
      <w:lvlText w:val="%1.%2.%3.%4.%5.%6.%7"/>
      <w:lvlJc w:val="left"/>
      <w:pPr>
        <w:ind w:left="1440" w:hanging="1440"/>
      </w:pPr>
      <w:rPr>
        <w:rFonts w:eastAsia="MS ??" w:hint="default"/>
        <w:color w:val="auto"/>
      </w:rPr>
    </w:lvl>
    <w:lvl w:ilvl="7">
      <w:start w:val="1"/>
      <w:numFmt w:val="decimal"/>
      <w:lvlText w:val="%1.%2.%3.%4.%5.%6.%7.%8"/>
      <w:lvlJc w:val="left"/>
      <w:pPr>
        <w:ind w:left="1440" w:hanging="1440"/>
      </w:pPr>
      <w:rPr>
        <w:rFonts w:eastAsia="MS ??" w:hint="default"/>
        <w:color w:val="auto"/>
      </w:rPr>
    </w:lvl>
    <w:lvl w:ilvl="8">
      <w:start w:val="1"/>
      <w:numFmt w:val="decimal"/>
      <w:lvlText w:val="%1.%2.%3.%4.%5.%6.%7.%8.%9"/>
      <w:lvlJc w:val="left"/>
      <w:pPr>
        <w:ind w:left="1800" w:hanging="1800"/>
      </w:pPr>
      <w:rPr>
        <w:rFonts w:eastAsia="MS ??" w:hint="default"/>
        <w:color w:val="auto"/>
      </w:rPr>
    </w:lvl>
  </w:abstractNum>
  <w:abstractNum w:abstractNumId="7">
    <w:nsid w:val="41C861FD"/>
    <w:multiLevelType w:val="multilevel"/>
    <w:tmpl w:val="CB46DBC0"/>
    <w:lvl w:ilvl="0">
      <w:start w:val="2"/>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val="0"/>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720" w:hanging="720"/>
      </w:pPr>
      <w:rPr>
        <w:rFonts w:cs="Arial" w:hint="default"/>
        <w:b w:val="0"/>
        <w:color w:val="000000"/>
      </w:rPr>
    </w:lvl>
    <w:lvl w:ilvl="4">
      <w:start w:val="1"/>
      <w:numFmt w:val="decimal"/>
      <w:lvlText w:val="%1.%2.%3.%4.%5"/>
      <w:lvlJc w:val="left"/>
      <w:pPr>
        <w:ind w:left="720" w:hanging="720"/>
      </w:pPr>
      <w:rPr>
        <w:rFonts w:cs="Arial" w:hint="default"/>
        <w:b w:val="0"/>
        <w:color w:val="000000"/>
      </w:rPr>
    </w:lvl>
    <w:lvl w:ilvl="5">
      <w:start w:val="1"/>
      <w:numFmt w:val="decimal"/>
      <w:lvlText w:val="%1.%2.%3.%4.%5.%6"/>
      <w:lvlJc w:val="left"/>
      <w:pPr>
        <w:ind w:left="1080" w:hanging="1080"/>
      </w:pPr>
      <w:rPr>
        <w:rFonts w:cs="Arial" w:hint="default"/>
        <w:b w:val="0"/>
        <w:color w:val="000000"/>
      </w:rPr>
    </w:lvl>
    <w:lvl w:ilvl="6">
      <w:start w:val="1"/>
      <w:numFmt w:val="decimal"/>
      <w:lvlText w:val="%1.%2.%3.%4.%5.%6.%7"/>
      <w:lvlJc w:val="left"/>
      <w:pPr>
        <w:ind w:left="1080" w:hanging="1080"/>
      </w:pPr>
      <w:rPr>
        <w:rFonts w:cs="Arial" w:hint="default"/>
        <w:b w:val="0"/>
        <w:color w:val="000000"/>
      </w:rPr>
    </w:lvl>
    <w:lvl w:ilvl="7">
      <w:start w:val="1"/>
      <w:numFmt w:val="decimal"/>
      <w:lvlText w:val="%1.%2.%3.%4.%5.%6.%7.%8"/>
      <w:lvlJc w:val="left"/>
      <w:pPr>
        <w:ind w:left="1440" w:hanging="1440"/>
      </w:pPr>
      <w:rPr>
        <w:rFonts w:cs="Arial" w:hint="default"/>
        <w:b w:val="0"/>
        <w:color w:val="000000"/>
      </w:rPr>
    </w:lvl>
    <w:lvl w:ilvl="8">
      <w:start w:val="1"/>
      <w:numFmt w:val="decimal"/>
      <w:lvlText w:val="%1.%2.%3.%4.%5.%6.%7.%8.%9"/>
      <w:lvlJc w:val="left"/>
      <w:pPr>
        <w:ind w:left="1440" w:hanging="1440"/>
      </w:pPr>
      <w:rPr>
        <w:rFonts w:cs="Arial" w:hint="default"/>
        <w:b w:val="0"/>
        <w:color w:val="000000"/>
      </w:rPr>
    </w:lvl>
  </w:abstractNum>
  <w:abstractNum w:abstractNumId="8">
    <w:nsid w:val="45F05E63"/>
    <w:multiLevelType w:val="hybridMultilevel"/>
    <w:tmpl w:val="A860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C55BC8"/>
    <w:multiLevelType w:val="multilevel"/>
    <w:tmpl w:val="C76624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457A06"/>
    <w:multiLevelType w:val="multilevel"/>
    <w:tmpl w:val="C83E70B6"/>
    <w:lvl w:ilvl="0">
      <w:start w:val="7"/>
      <w:numFmt w:val="decimal"/>
      <w:lvlText w:val="%1"/>
      <w:lvlJc w:val="left"/>
      <w:pPr>
        <w:ind w:left="360" w:hanging="360"/>
      </w:pPr>
      <w:rPr>
        <w:rFonts w:hint="default"/>
      </w:rPr>
    </w:lvl>
    <w:lvl w:ilvl="1">
      <w:start w:val="1"/>
      <w:numFmt w:val="decimal"/>
      <w:lvlText w:val="8.%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nsid w:val="5D0E2CE2"/>
    <w:multiLevelType w:val="multilevel"/>
    <w:tmpl w:val="20CC7EF0"/>
    <w:lvl w:ilvl="0">
      <w:start w:val="1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5"/>
      <w:numFmt w:val="decimal"/>
      <w:lvlText w:val="%1.%2.%3"/>
      <w:lvlJc w:val="left"/>
      <w:pPr>
        <w:ind w:left="1145"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64096AB4"/>
    <w:multiLevelType w:val="hybridMultilevel"/>
    <w:tmpl w:val="494AFD88"/>
    <w:lvl w:ilvl="0" w:tplc="E5F81B20">
      <w:start w:val="1"/>
      <w:numFmt w:val="decimal"/>
      <w:lvlText w:val="1.%1"/>
      <w:lvlJc w:val="left"/>
      <w:pPr>
        <w:ind w:left="360" w:hanging="360"/>
      </w:pPr>
      <w:rPr>
        <w:rFonts w:cs="Times New Roman"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8804DC8"/>
    <w:multiLevelType w:val="multilevel"/>
    <w:tmpl w:val="798A48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A6B65B0"/>
    <w:multiLevelType w:val="multilevel"/>
    <w:tmpl w:val="CB46DBC0"/>
    <w:lvl w:ilvl="0">
      <w:start w:val="2"/>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val="0"/>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720" w:hanging="720"/>
      </w:pPr>
      <w:rPr>
        <w:rFonts w:cs="Arial" w:hint="default"/>
        <w:b w:val="0"/>
        <w:color w:val="000000"/>
      </w:rPr>
    </w:lvl>
    <w:lvl w:ilvl="4">
      <w:start w:val="1"/>
      <w:numFmt w:val="decimal"/>
      <w:lvlText w:val="%1.%2.%3.%4.%5"/>
      <w:lvlJc w:val="left"/>
      <w:pPr>
        <w:ind w:left="720" w:hanging="720"/>
      </w:pPr>
      <w:rPr>
        <w:rFonts w:cs="Arial" w:hint="default"/>
        <w:b w:val="0"/>
        <w:color w:val="000000"/>
      </w:rPr>
    </w:lvl>
    <w:lvl w:ilvl="5">
      <w:start w:val="1"/>
      <w:numFmt w:val="decimal"/>
      <w:lvlText w:val="%1.%2.%3.%4.%5.%6"/>
      <w:lvlJc w:val="left"/>
      <w:pPr>
        <w:ind w:left="1080" w:hanging="1080"/>
      </w:pPr>
      <w:rPr>
        <w:rFonts w:cs="Arial" w:hint="default"/>
        <w:b w:val="0"/>
        <w:color w:val="000000"/>
      </w:rPr>
    </w:lvl>
    <w:lvl w:ilvl="6">
      <w:start w:val="1"/>
      <w:numFmt w:val="decimal"/>
      <w:lvlText w:val="%1.%2.%3.%4.%5.%6.%7"/>
      <w:lvlJc w:val="left"/>
      <w:pPr>
        <w:ind w:left="1080" w:hanging="1080"/>
      </w:pPr>
      <w:rPr>
        <w:rFonts w:cs="Arial" w:hint="default"/>
        <w:b w:val="0"/>
        <w:color w:val="000000"/>
      </w:rPr>
    </w:lvl>
    <w:lvl w:ilvl="7">
      <w:start w:val="1"/>
      <w:numFmt w:val="decimal"/>
      <w:lvlText w:val="%1.%2.%3.%4.%5.%6.%7.%8"/>
      <w:lvlJc w:val="left"/>
      <w:pPr>
        <w:ind w:left="1440" w:hanging="1440"/>
      </w:pPr>
      <w:rPr>
        <w:rFonts w:cs="Arial" w:hint="default"/>
        <w:b w:val="0"/>
        <w:color w:val="000000"/>
      </w:rPr>
    </w:lvl>
    <w:lvl w:ilvl="8">
      <w:start w:val="1"/>
      <w:numFmt w:val="decimal"/>
      <w:lvlText w:val="%1.%2.%3.%4.%5.%6.%7.%8.%9"/>
      <w:lvlJc w:val="left"/>
      <w:pPr>
        <w:ind w:left="1440" w:hanging="1440"/>
      </w:pPr>
      <w:rPr>
        <w:rFonts w:cs="Arial" w:hint="default"/>
        <w:b w:val="0"/>
        <w:color w:val="000000"/>
      </w:rPr>
    </w:lvl>
  </w:abstractNum>
  <w:abstractNum w:abstractNumId="15">
    <w:nsid w:val="6F8B7CF8"/>
    <w:multiLevelType w:val="hybridMultilevel"/>
    <w:tmpl w:val="F58C922C"/>
    <w:lvl w:ilvl="0" w:tplc="E342F608">
      <w:start w:val="1"/>
      <w:numFmt w:val="decimal"/>
      <w:lvlText w:val="4.%1"/>
      <w:lvlJc w:val="left"/>
      <w:pPr>
        <w:ind w:left="360" w:hanging="360"/>
      </w:pPr>
      <w:rPr>
        <w:rFonts w:cs="Times New Roman"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DE5410"/>
    <w:multiLevelType w:val="multilevel"/>
    <w:tmpl w:val="47645B90"/>
    <w:lvl w:ilvl="0">
      <w:start w:val="4"/>
      <w:numFmt w:val="decimal"/>
      <w:lvlText w:val="%1"/>
      <w:lvlJc w:val="left"/>
      <w:pPr>
        <w:ind w:left="360" w:hanging="360"/>
      </w:pPr>
      <w:rPr>
        <w:rFonts w:ascii="Calibri" w:hAnsi="Calibri" w:cs="Arial" w:hint="default"/>
        <w:color w:val="000000"/>
        <w:sz w:val="20"/>
      </w:rPr>
    </w:lvl>
    <w:lvl w:ilvl="1">
      <w:start w:val="1"/>
      <w:numFmt w:val="decimal"/>
      <w:lvlText w:val="%1.%2"/>
      <w:lvlJc w:val="left"/>
      <w:pPr>
        <w:ind w:left="344" w:hanging="360"/>
      </w:pPr>
      <w:rPr>
        <w:rFonts w:ascii="Calibri" w:hAnsi="Calibri" w:cs="Arial" w:hint="default"/>
        <w:color w:val="000000"/>
        <w:sz w:val="20"/>
      </w:rPr>
    </w:lvl>
    <w:lvl w:ilvl="2">
      <w:start w:val="1"/>
      <w:numFmt w:val="decimal"/>
      <w:lvlText w:val="%1.%2.%3"/>
      <w:lvlJc w:val="left"/>
      <w:pPr>
        <w:ind w:left="688" w:hanging="720"/>
      </w:pPr>
      <w:rPr>
        <w:rFonts w:ascii="Calibri" w:hAnsi="Calibri" w:cs="Arial" w:hint="default"/>
        <w:color w:val="000000"/>
        <w:sz w:val="20"/>
      </w:rPr>
    </w:lvl>
    <w:lvl w:ilvl="3">
      <w:start w:val="1"/>
      <w:numFmt w:val="decimal"/>
      <w:lvlText w:val="%1.%2.%3.%4"/>
      <w:lvlJc w:val="left"/>
      <w:pPr>
        <w:ind w:left="672" w:hanging="720"/>
      </w:pPr>
      <w:rPr>
        <w:rFonts w:ascii="Calibri" w:hAnsi="Calibri" w:cs="Arial" w:hint="default"/>
        <w:color w:val="000000"/>
        <w:sz w:val="20"/>
      </w:rPr>
    </w:lvl>
    <w:lvl w:ilvl="4">
      <w:start w:val="1"/>
      <w:numFmt w:val="decimal"/>
      <w:lvlText w:val="%1.%2.%3.%4.%5"/>
      <w:lvlJc w:val="left"/>
      <w:pPr>
        <w:ind w:left="1016" w:hanging="1080"/>
      </w:pPr>
      <w:rPr>
        <w:rFonts w:ascii="Calibri" w:hAnsi="Calibri" w:cs="Arial" w:hint="default"/>
        <w:color w:val="000000"/>
        <w:sz w:val="20"/>
      </w:rPr>
    </w:lvl>
    <w:lvl w:ilvl="5">
      <w:start w:val="1"/>
      <w:numFmt w:val="decimal"/>
      <w:lvlText w:val="%1.%2.%3.%4.%5.%6"/>
      <w:lvlJc w:val="left"/>
      <w:pPr>
        <w:ind w:left="1000" w:hanging="1080"/>
      </w:pPr>
      <w:rPr>
        <w:rFonts w:ascii="Calibri" w:hAnsi="Calibri" w:cs="Arial" w:hint="default"/>
        <w:color w:val="000000"/>
        <w:sz w:val="20"/>
      </w:rPr>
    </w:lvl>
    <w:lvl w:ilvl="6">
      <w:start w:val="1"/>
      <w:numFmt w:val="decimal"/>
      <w:lvlText w:val="%1.%2.%3.%4.%5.%6.%7"/>
      <w:lvlJc w:val="left"/>
      <w:pPr>
        <w:ind w:left="1344" w:hanging="1440"/>
      </w:pPr>
      <w:rPr>
        <w:rFonts w:ascii="Calibri" w:hAnsi="Calibri" w:cs="Arial" w:hint="default"/>
        <w:color w:val="000000"/>
        <w:sz w:val="20"/>
      </w:rPr>
    </w:lvl>
    <w:lvl w:ilvl="7">
      <w:start w:val="1"/>
      <w:numFmt w:val="decimal"/>
      <w:lvlText w:val="%1.%2.%3.%4.%5.%6.%7.%8"/>
      <w:lvlJc w:val="left"/>
      <w:pPr>
        <w:ind w:left="1328" w:hanging="1440"/>
      </w:pPr>
      <w:rPr>
        <w:rFonts w:ascii="Calibri" w:hAnsi="Calibri" w:cs="Arial" w:hint="default"/>
        <w:color w:val="000000"/>
        <w:sz w:val="20"/>
      </w:rPr>
    </w:lvl>
    <w:lvl w:ilvl="8">
      <w:start w:val="1"/>
      <w:numFmt w:val="decimal"/>
      <w:lvlText w:val="%1.%2.%3.%4.%5.%6.%7.%8.%9"/>
      <w:lvlJc w:val="left"/>
      <w:pPr>
        <w:ind w:left="1672" w:hanging="1800"/>
      </w:pPr>
      <w:rPr>
        <w:rFonts w:ascii="Calibri" w:hAnsi="Calibri" w:cs="Arial" w:hint="default"/>
        <w:color w:val="000000"/>
        <w:sz w:val="20"/>
      </w:rPr>
    </w:lvl>
  </w:abstractNum>
  <w:abstractNum w:abstractNumId="17">
    <w:nsid w:val="7C2C6A5C"/>
    <w:multiLevelType w:val="hybridMultilevel"/>
    <w:tmpl w:val="7B7A7BC6"/>
    <w:lvl w:ilvl="0" w:tplc="CF9AF5BA">
      <w:start w:val="1"/>
      <w:numFmt w:val="decimal"/>
      <w:lvlText w:val="10.%1"/>
      <w:lvlJc w:val="left"/>
      <w:pPr>
        <w:ind w:left="360" w:hanging="360"/>
      </w:pPr>
      <w:rPr>
        <w:rFonts w:cs="Times New Roman" w:hint="default"/>
        <w:b w:val="0"/>
        <w:i w:val="0"/>
        <w:iCs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4"/>
  </w:num>
  <w:num w:numId="4">
    <w:abstractNumId w:val="1"/>
  </w:num>
  <w:num w:numId="5">
    <w:abstractNumId w:val="17"/>
  </w:num>
  <w:num w:numId="6">
    <w:abstractNumId w:val="9"/>
  </w:num>
  <w:num w:numId="7">
    <w:abstractNumId w:val="6"/>
  </w:num>
  <w:num w:numId="8">
    <w:abstractNumId w:val="16"/>
  </w:num>
  <w:num w:numId="9">
    <w:abstractNumId w:val="13"/>
  </w:num>
  <w:num w:numId="10">
    <w:abstractNumId w:val="15"/>
  </w:num>
  <w:num w:numId="11">
    <w:abstractNumId w:val="12"/>
  </w:num>
  <w:num w:numId="12">
    <w:abstractNumId w:val="7"/>
  </w:num>
  <w:num w:numId="13">
    <w:abstractNumId w:val="2"/>
  </w:num>
  <w:num w:numId="14">
    <w:abstractNumId w:val="8"/>
  </w:num>
  <w:num w:numId="15">
    <w:abstractNumId w:val="0"/>
  </w:num>
  <w:num w:numId="16">
    <w:abstractNumId w:val="3"/>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5E05"/>
    <w:rsid w:val="000763D4"/>
    <w:rsid w:val="00084187"/>
    <w:rsid w:val="00093C8D"/>
    <w:rsid w:val="001676DB"/>
    <w:rsid w:val="00202232"/>
    <w:rsid w:val="0023592C"/>
    <w:rsid w:val="0025425B"/>
    <w:rsid w:val="002762C4"/>
    <w:rsid w:val="00293DC6"/>
    <w:rsid w:val="00306060"/>
    <w:rsid w:val="00311D12"/>
    <w:rsid w:val="004136A3"/>
    <w:rsid w:val="0049410A"/>
    <w:rsid w:val="004D314A"/>
    <w:rsid w:val="004F1655"/>
    <w:rsid w:val="00534E62"/>
    <w:rsid w:val="00574A50"/>
    <w:rsid w:val="005A1486"/>
    <w:rsid w:val="005E7F07"/>
    <w:rsid w:val="00647300"/>
    <w:rsid w:val="00647A20"/>
    <w:rsid w:val="0069300B"/>
    <w:rsid w:val="00711945"/>
    <w:rsid w:val="00711E7D"/>
    <w:rsid w:val="00720D8F"/>
    <w:rsid w:val="00723199"/>
    <w:rsid w:val="0073254A"/>
    <w:rsid w:val="0074470C"/>
    <w:rsid w:val="00773584"/>
    <w:rsid w:val="00777AD2"/>
    <w:rsid w:val="007B3EB8"/>
    <w:rsid w:val="007D3571"/>
    <w:rsid w:val="008148B8"/>
    <w:rsid w:val="00820340"/>
    <w:rsid w:val="00865203"/>
    <w:rsid w:val="0089703F"/>
    <w:rsid w:val="008C0A43"/>
    <w:rsid w:val="00903809"/>
    <w:rsid w:val="00984C1C"/>
    <w:rsid w:val="00995E05"/>
    <w:rsid w:val="009B29FC"/>
    <w:rsid w:val="00A57406"/>
    <w:rsid w:val="00B013F3"/>
    <w:rsid w:val="00BB7E36"/>
    <w:rsid w:val="00BF1AEC"/>
    <w:rsid w:val="00C56231"/>
    <w:rsid w:val="00CF0545"/>
    <w:rsid w:val="00D27B26"/>
    <w:rsid w:val="00D478F8"/>
    <w:rsid w:val="00D80A2E"/>
    <w:rsid w:val="00DD4CB6"/>
    <w:rsid w:val="00DE012A"/>
    <w:rsid w:val="00E34C41"/>
    <w:rsid w:val="00E57121"/>
    <w:rsid w:val="00EC3E29"/>
    <w:rsid w:val="00EF6C1D"/>
    <w:rsid w:val="00F435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0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E05"/>
    <w:rPr>
      <w:color w:val="0000FF" w:themeColor="hyperlink"/>
      <w:u w:val="single"/>
    </w:rPr>
  </w:style>
  <w:style w:type="paragraph" w:styleId="ListParagraph">
    <w:name w:val="List Paragraph"/>
    <w:basedOn w:val="Normal"/>
    <w:uiPriority w:val="34"/>
    <w:qFormat/>
    <w:rsid w:val="00995E05"/>
    <w:pPr>
      <w:ind w:left="720"/>
      <w:contextualSpacing/>
    </w:pPr>
  </w:style>
  <w:style w:type="table" w:styleId="TableGrid">
    <w:name w:val="Table Grid"/>
    <w:basedOn w:val="TableNormal"/>
    <w:rsid w:val="00995E05"/>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95E05"/>
    <w:rPr>
      <w:rFonts w:ascii="Cambria" w:eastAsia="MS ??" w:hAnsi="Cambria" w:cs="Times New Roman"/>
      <w:sz w:val="20"/>
      <w:szCs w:val="20"/>
      <w:lang w:eastAsia="es-ES"/>
    </w:rPr>
  </w:style>
  <w:style w:type="character" w:customStyle="1" w:styleId="FootnoteTextChar">
    <w:name w:val="Footnote Text Char"/>
    <w:basedOn w:val="DefaultParagraphFont"/>
    <w:link w:val="FootnoteText"/>
    <w:uiPriority w:val="99"/>
    <w:rsid w:val="00995E05"/>
    <w:rPr>
      <w:rFonts w:ascii="Cambria" w:eastAsia="MS ??" w:hAnsi="Cambria" w:cs="Times New Roman"/>
      <w:sz w:val="20"/>
      <w:szCs w:val="20"/>
      <w:lang w:val="en-US" w:eastAsia="es-ES"/>
    </w:rPr>
  </w:style>
  <w:style w:type="character" w:styleId="FootnoteReference">
    <w:name w:val="footnote reference"/>
    <w:basedOn w:val="DefaultParagraphFont"/>
    <w:uiPriority w:val="99"/>
    <w:unhideWhenUsed/>
    <w:rsid w:val="00995E05"/>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CE89-4FA4-4375-A8EC-8F8939AA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BRS</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Tterekhova</dc:creator>
  <cp:lastModifiedBy>Tterekhova</cp:lastModifiedBy>
  <cp:revision>2</cp:revision>
  <dcterms:created xsi:type="dcterms:W3CDTF">2015-01-29T12:59:00Z</dcterms:created>
  <dcterms:modified xsi:type="dcterms:W3CDTF">2015-01-29T12:59:00Z</dcterms:modified>
</cp:coreProperties>
</file>